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041C6D" w14:textId="77777777" w:rsidR="00B87C13" w:rsidRDefault="00942C38">
      <w:pPr>
        <w:spacing w:after="57" w:line="360" w:lineRule="auto"/>
        <w:ind w:left="400"/>
        <w:jc w:val="center"/>
      </w:pPr>
      <w:r>
        <w:rPr>
          <w:rFonts w:cs="Times New Roman"/>
          <w:b/>
        </w:rPr>
        <w:t>RECOMENDAÇÃO Nº ____/202</w:t>
      </w:r>
      <w:r w:rsidR="002F2380">
        <w:rPr>
          <w:rFonts w:cs="Times New Roman"/>
          <w:b/>
        </w:rPr>
        <w:t>1</w:t>
      </w:r>
    </w:p>
    <w:p w14:paraId="26BCEDE2" w14:textId="1F9FCFA2" w:rsidR="00B6213F" w:rsidRDefault="00B6213F">
      <w:pPr>
        <w:spacing w:after="57" w:line="360" w:lineRule="auto"/>
        <w:jc w:val="both"/>
        <w:rPr>
          <w:rFonts w:cs="Times New Roman"/>
          <w:b/>
        </w:rPr>
      </w:pPr>
    </w:p>
    <w:p w14:paraId="50ED3FC2" w14:textId="77777777" w:rsidR="0019285C" w:rsidRDefault="0019285C">
      <w:pPr>
        <w:spacing w:after="57" w:line="360" w:lineRule="auto"/>
        <w:jc w:val="both"/>
        <w:rPr>
          <w:rFonts w:cs="Times New Roman"/>
          <w:b/>
        </w:rPr>
      </w:pPr>
    </w:p>
    <w:p w14:paraId="6084D841" w14:textId="1ACCA20F" w:rsidR="009E138D" w:rsidRPr="00060FBE" w:rsidRDefault="00942C38" w:rsidP="009E138D">
      <w:pPr>
        <w:spacing w:line="360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/>
        </w:rPr>
        <w:t xml:space="preserve">Objeto: </w:t>
      </w:r>
      <w:r w:rsidR="00060FBE" w:rsidRPr="00060FBE">
        <w:rPr>
          <w:rFonts w:cs="Times New Roman"/>
          <w:bCs/>
        </w:rPr>
        <w:t>Recomendar ao</w:t>
      </w:r>
      <w:r w:rsidR="00542077">
        <w:rPr>
          <w:rFonts w:cs="Times New Roman"/>
          <w:bCs/>
        </w:rPr>
        <w:t>s</w:t>
      </w:r>
      <w:r w:rsidR="00060FBE" w:rsidRPr="00060FBE">
        <w:rPr>
          <w:rFonts w:cs="Times New Roman"/>
          <w:bCs/>
        </w:rPr>
        <w:t xml:space="preserve"> Hospitais Privados do Município de </w:t>
      </w:r>
      <w:r w:rsidR="00060FBE">
        <w:rPr>
          <w:rFonts w:cs="Times New Roman"/>
          <w:bCs/>
        </w:rPr>
        <w:t>___________</w:t>
      </w:r>
      <w:r w:rsidR="00060FBE" w:rsidRPr="00060FBE">
        <w:rPr>
          <w:rFonts w:cs="Times New Roman"/>
          <w:bCs/>
        </w:rPr>
        <w:t xml:space="preserve"> que adotem as providências necessárias para garantir o direito à saúde e o atendimento da população, usuários do sistema de saúde privado/suplementar, durante a </w:t>
      </w:r>
      <w:r w:rsidR="00AB6C12">
        <w:rPr>
          <w:rFonts w:cs="Times New Roman"/>
          <w:bCs/>
        </w:rPr>
        <w:t xml:space="preserve">segunda onda da </w:t>
      </w:r>
      <w:r w:rsidR="00060FBE" w:rsidRPr="00060FBE">
        <w:rPr>
          <w:rFonts w:cs="Times New Roman"/>
          <w:bCs/>
        </w:rPr>
        <w:t xml:space="preserve">pandemia do </w:t>
      </w:r>
      <w:r w:rsidR="00060FBE">
        <w:rPr>
          <w:rFonts w:cs="Times New Roman"/>
          <w:bCs/>
        </w:rPr>
        <w:t xml:space="preserve">novo </w:t>
      </w:r>
      <w:r w:rsidR="00060FBE" w:rsidRPr="00060FBE">
        <w:rPr>
          <w:rFonts w:cs="Times New Roman"/>
          <w:bCs/>
        </w:rPr>
        <w:t>Corona</w:t>
      </w:r>
      <w:r w:rsidR="00AB6C12">
        <w:rPr>
          <w:rFonts w:cs="Times New Roman"/>
          <w:bCs/>
        </w:rPr>
        <w:t>v</w:t>
      </w:r>
      <w:r w:rsidR="00060FBE" w:rsidRPr="00060FBE">
        <w:rPr>
          <w:rFonts w:cs="Times New Roman"/>
          <w:bCs/>
        </w:rPr>
        <w:t>írus, adotando todas as providências necessárias para garantir o direito à saúde dos usuários, de</w:t>
      </w:r>
      <w:r w:rsidR="00AB6C12">
        <w:rPr>
          <w:rFonts w:cs="Times New Roman"/>
          <w:bCs/>
        </w:rPr>
        <w:t xml:space="preserve"> </w:t>
      </w:r>
      <w:r w:rsidR="00060FBE" w:rsidRPr="00060FBE">
        <w:rPr>
          <w:rFonts w:cs="Times New Roman"/>
          <w:bCs/>
        </w:rPr>
        <w:t>acordo com as autoridades sanitárias estadual e nacional e o plano de contingenciamento do Estado do Ceará e da União, informando sobre as providências adotadas e prestando as informações constantes dessa recomendação.</w:t>
      </w:r>
    </w:p>
    <w:p w14:paraId="1F1907F6" w14:textId="38B3E160" w:rsidR="00B6213F" w:rsidRDefault="00B6213F" w:rsidP="00066351">
      <w:pPr>
        <w:spacing w:after="57" w:line="360" w:lineRule="auto"/>
        <w:jc w:val="both"/>
        <w:rPr>
          <w:rFonts w:cs="Times New Roman"/>
          <w:color w:val="000000"/>
        </w:rPr>
      </w:pPr>
    </w:p>
    <w:p w14:paraId="67D9E8EE" w14:textId="77777777" w:rsidR="0019285C" w:rsidRDefault="0019285C" w:rsidP="00066351">
      <w:pPr>
        <w:spacing w:after="57" w:line="360" w:lineRule="auto"/>
        <w:jc w:val="both"/>
        <w:rPr>
          <w:rFonts w:cs="Times New Roman"/>
          <w:color w:val="000000"/>
        </w:rPr>
      </w:pPr>
    </w:p>
    <w:p w14:paraId="47376201" w14:textId="77777777" w:rsidR="007B6229" w:rsidRDefault="007B6229" w:rsidP="00C30646">
      <w:pPr>
        <w:pStyle w:val="Corpodetexto"/>
        <w:spacing w:after="0" w:line="360" w:lineRule="auto"/>
        <w:ind w:firstLine="1701"/>
        <w:jc w:val="both"/>
        <w:rPr>
          <w:rStyle w:val="eop"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>O MINISTÉRIO PÚBLICO DO ESTADO DO CEARÁ</w:t>
      </w:r>
      <w:r>
        <w:rPr>
          <w:rStyle w:val="normaltextrun"/>
          <w:color w:val="000000"/>
          <w:shd w:val="clear" w:color="auto" w:fill="FFFFFF"/>
        </w:rPr>
        <w:t>, por intermédio do PROMOTOR DE JUSTIÇA titular da Promotoria de Justiça da comarca de _____________, no uso das atribuições que lhe são conferidas pelos artigos 129, incisos III, VI e IX, da Constituição Federal de 1988; artigo 26, inciso I, e alíneas, da Lei Federal nº 8.625/93, e atendendo às determinações constantes da Resolução nº 036/2016 do OECPJ/CE; </w:t>
      </w:r>
      <w:r>
        <w:rPr>
          <w:rStyle w:val="eop"/>
          <w:color w:val="000000"/>
          <w:shd w:val="clear" w:color="auto" w:fill="FFFFFF"/>
        </w:rPr>
        <w:t> </w:t>
      </w:r>
    </w:p>
    <w:p w14:paraId="32B7A06C" w14:textId="77777777" w:rsidR="00B87C13" w:rsidRDefault="00942C38" w:rsidP="00C30646">
      <w:pPr>
        <w:pStyle w:val="Corpodetexto"/>
        <w:spacing w:after="0" w:line="360" w:lineRule="auto"/>
        <w:ind w:firstLine="1701"/>
        <w:jc w:val="both"/>
      </w:pPr>
      <w:r>
        <w:rPr>
          <w:rFonts w:cs="Times New Roman"/>
          <w:b/>
          <w:bCs/>
          <w:color w:val="000000"/>
        </w:rPr>
        <w:t>CONSIDERANDO</w:t>
      </w:r>
      <w:r>
        <w:rPr>
          <w:rFonts w:cs="Times New Roman"/>
          <w:color w:val="000000"/>
        </w:rPr>
        <w:t xml:space="preserve"> que, a teor do art. 27, parágrafo único, inciso IV, da Lei Federal 8.625/93, Lei Orgânica Nacional do Ministério Público (LONMP), cabe ao Ministério Público exercer a defesa dos direitos assegurados nas Constituições Federal e Estadual, sempre que se cuidar de garantir-lhes o respeito pelos poderes estaduais ou municipais e, no exercício dessas atribuições, promover Ações Civis Públicas, Inquéritos Civis, Procedimentos Administrativos, Recomendações dirigidas a órgãos e entidades, requisitando ao destinatário sua divulgação adequada e imediata, assim como resposta por escrito;</w:t>
      </w:r>
    </w:p>
    <w:p w14:paraId="499223D4" w14:textId="77777777" w:rsidR="00B87C13" w:rsidRDefault="00942C38" w:rsidP="00C30646">
      <w:pPr>
        <w:spacing w:line="360" w:lineRule="auto"/>
        <w:ind w:firstLine="1701"/>
        <w:jc w:val="both"/>
      </w:pPr>
      <w:r>
        <w:rPr>
          <w:rFonts w:cs="Times New Roman"/>
          <w:b/>
          <w:bCs/>
        </w:rPr>
        <w:t>CONSIDERANDO</w:t>
      </w:r>
      <w:r>
        <w:rPr>
          <w:rFonts w:cs="Times New Roman"/>
        </w:rPr>
        <w:t xml:space="preserve"> </w:t>
      </w:r>
      <w:r>
        <w:rPr>
          <w:rFonts w:cs="Times New Roman"/>
          <w:lang w:eastAsia="pt-BR"/>
        </w:rPr>
        <w:t>que a saúde é direito de todos e dever do Estado, nos termos do art. 196 da Constituição Federal;</w:t>
      </w:r>
    </w:p>
    <w:p w14:paraId="5ED5DF72" w14:textId="77777777" w:rsidR="00DE0154" w:rsidRDefault="00DE0154" w:rsidP="00C30646">
      <w:pPr>
        <w:spacing w:line="360" w:lineRule="auto"/>
        <w:ind w:firstLine="1701"/>
        <w:jc w:val="both"/>
      </w:pPr>
      <w:r w:rsidRPr="00DE0154">
        <w:rPr>
          <w:b/>
          <w:bCs/>
        </w:rPr>
        <w:t>CONSIDERANDO</w:t>
      </w:r>
      <w:r>
        <w:t xml:space="preserve"> a classificação de pandemia do Novo Coronavírus (COVID-19) pela Organização Mundial da Saúde (OMS), e a situação de emergência de saúde pública decretada pela Lei nº 13.979/2020, que prevê, em seu art. 3º, a adoção de medidas de </w:t>
      </w:r>
      <w:r>
        <w:lastRenderedPageBreak/>
        <w:t>isolamento, quarentena, realização compulsória de tratamentos médicos específicos, estudo e investigação epidemiológica, dentre outros;</w:t>
      </w:r>
    </w:p>
    <w:p w14:paraId="4DE9F2C7" w14:textId="77777777" w:rsidR="00B92103" w:rsidRDefault="00B92103" w:rsidP="00C30646">
      <w:pPr>
        <w:spacing w:line="360" w:lineRule="auto"/>
        <w:ind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CONSIDERANDO</w:t>
      </w:r>
      <w:r>
        <w:rPr>
          <w:rFonts w:eastAsia="Times New Roman" w:cs="Times New Roman"/>
        </w:rPr>
        <w:t xml:space="preserve"> que o Governo do Estado do Ceará, por meio do Decreto nº 33.510, de 16 de março de 2020, decretou situação de emergência em saúde, em razão da disseminação de COVID-19 no Estado do Ceará, dispondo sobre diversas medidas para enfrentamento e contenção da infecção humana pelo novo coronavírus, tendo intensificado as medidas por meio do Decreto nº 33.519, de 19 de março de 2020, e</w:t>
      </w:r>
      <w:hyperlink r:id="rId11" w:history="1">
        <w:r w:rsidRPr="00355F12">
          <w:rPr>
            <w:rStyle w:val="Hyperlink"/>
            <w:rFonts w:eastAsia="Times New Roman" w:cs="Times New Roman"/>
          </w:rPr>
          <w:t xml:space="preserve"> alterações posteriores</w:t>
        </w:r>
      </w:hyperlink>
      <w:r>
        <w:rPr>
          <w:rFonts w:eastAsia="Times New Roman" w:cs="Times New Roman"/>
        </w:rPr>
        <w:t>;</w:t>
      </w:r>
    </w:p>
    <w:p w14:paraId="23139862" w14:textId="6FC455EF" w:rsidR="00DE0154" w:rsidRDefault="00DE0154" w:rsidP="00C30646">
      <w:pPr>
        <w:spacing w:line="360" w:lineRule="auto"/>
        <w:ind w:firstLine="1701"/>
        <w:jc w:val="both"/>
      </w:pPr>
      <w:r w:rsidRPr="00DE0154">
        <w:rPr>
          <w:b/>
          <w:bCs/>
        </w:rPr>
        <w:t>CONSIDERANDO</w:t>
      </w:r>
      <w:r>
        <w:t xml:space="preserve"> que a </w:t>
      </w:r>
      <w:hyperlink r:id="rId12" w:history="1">
        <w:r w:rsidRPr="00A91CD1">
          <w:rPr>
            <w:rStyle w:val="Hyperlink"/>
          </w:rPr>
          <w:t>Nota Técnica Conjunta Nº 1/2020 – CES/CNMP/1ª CCR</w:t>
        </w:r>
      </w:hyperlink>
      <w:r>
        <w:t>, de 26 de fevereiro de 2020, dispõe a importância da atuação do Ministério Público no enfrentamento do COVID-19;</w:t>
      </w:r>
    </w:p>
    <w:p w14:paraId="498EB46F" w14:textId="70D682E9" w:rsidR="005F01EA" w:rsidRDefault="005F01EA" w:rsidP="005F01EA">
      <w:pPr>
        <w:spacing w:line="360" w:lineRule="auto"/>
        <w:ind w:firstLine="1701"/>
        <w:jc w:val="both"/>
      </w:pPr>
      <w:r w:rsidRPr="005F01EA">
        <w:rPr>
          <w:b/>
          <w:bCs/>
        </w:rPr>
        <w:t>CONSIDERANDO</w:t>
      </w:r>
      <w:r>
        <w:t xml:space="preserve"> que o Art. 199, § 1º da Constituição Federal prevê que: “A assistência à saúde é livre à iniciativa privada. § 1º - As instituições privadas poderão participar de forma complementar do sistema único de saúde, segundo diretrizes deste, mediante contrato de direito público ou convênio, tendo preferência as entidades filantrópicas e as sem fins lucrativos.”;</w:t>
      </w:r>
    </w:p>
    <w:p w14:paraId="3F11C68F" w14:textId="6F0972A5" w:rsidR="005F01EA" w:rsidRDefault="005F01EA" w:rsidP="005F01EA">
      <w:pPr>
        <w:spacing w:line="360" w:lineRule="auto"/>
        <w:ind w:firstLine="1701"/>
        <w:jc w:val="both"/>
      </w:pPr>
      <w:r w:rsidRPr="005F01EA">
        <w:rPr>
          <w:b/>
          <w:bCs/>
        </w:rPr>
        <w:t>CONSIDERANDO</w:t>
      </w:r>
      <w:r>
        <w:t xml:space="preserve"> que o 200, I da Constituição Federal prevê que “Ao Sistema Único de Saúde compete, além de outras atribuições, nos termos da lei: I - controlar e fiscalizar procedimentos, produtos e substâncias de interesse para a saúde e participar da produção de medicamentos, equipamentos, imunobiológicos, hemoderivados e outros insumos”;</w:t>
      </w:r>
    </w:p>
    <w:p w14:paraId="67DEB680" w14:textId="0B7858DD" w:rsidR="005F01EA" w:rsidRDefault="005F01EA" w:rsidP="005F01EA">
      <w:pPr>
        <w:spacing w:line="360" w:lineRule="auto"/>
        <w:ind w:firstLine="1701"/>
        <w:jc w:val="both"/>
      </w:pPr>
      <w:r w:rsidRPr="005F01EA">
        <w:rPr>
          <w:b/>
          <w:bCs/>
        </w:rPr>
        <w:t xml:space="preserve">CONSIDERANDO </w:t>
      </w:r>
      <w:r>
        <w:t>que o 200, II da Constituição Federal prevê que “Art. 200. Ao sistema único de saúde compete, além de outras atribuições, nos termos da lei: II - executar as ações de vigilância sanitária e epidemiológica, bem como as de saúde do trabalhador;”</w:t>
      </w:r>
    </w:p>
    <w:p w14:paraId="5A21AD61" w14:textId="2129354B" w:rsidR="005F01EA" w:rsidRDefault="005F01EA" w:rsidP="005F01EA">
      <w:pPr>
        <w:spacing w:line="360" w:lineRule="auto"/>
        <w:ind w:firstLine="1701"/>
        <w:jc w:val="both"/>
      </w:pPr>
      <w:r w:rsidRPr="005F01EA">
        <w:rPr>
          <w:b/>
          <w:bCs/>
        </w:rPr>
        <w:t>CONSIDERANDO</w:t>
      </w:r>
      <w:r>
        <w:t xml:space="preserve"> que, segundo o art. 129, II é função institucional do Ministério Público zelar pelo efetivo respeito dos Poderes Públicos e dos serviços de relevância pública aos direitos assegurados nesta Constituição, inclusive o direito à saúde da população, tanto no sistema público quanto em relação aos usuários do sistema privado/ suplementar, promovendo as medidas necessárias à sua garantia;</w:t>
      </w:r>
    </w:p>
    <w:p w14:paraId="44EE4BF2" w14:textId="23BF3BEC" w:rsidR="005F01EA" w:rsidRDefault="005F01EA" w:rsidP="005F01EA">
      <w:pPr>
        <w:spacing w:line="360" w:lineRule="auto"/>
        <w:ind w:firstLine="1701"/>
        <w:jc w:val="both"/>
      </w:pPr>
      <w:r w:rsidRPr="005F01EA">
        <w:rPr>
          <w:b/>
          <w:bCs/>
        </w:rPr>
        <w:t>CONSIDERANDO</w:t>
      </w:r>
      <w:r w:rsidRPr="005F01EA">
        <w:t xml:space="preserve"> que os planos de saúde não podem recusar atendimento </w:t>
      </w:r>
      <w:r w:rsidRPr="005F01EA">
        <w:lastRenderedPageBreak/>
        <w:t>em face do direito do consumidor (art. 6º, inciso I e 39, inciso II do CDC) e das normas de direito sanitário vigente (Decreto nº 33.510, de 16 de março de 2020 e Decreto nº 33.519, de 19 de março de 2020</w:t>
      </w:r>
      <w:r>
        <w:t xml:space="preserve"> e seguintes</w:t>
      </w:r>
      <w:r w:rsidRPr="005F01EA">
        <w:t>);</w:t>
      </w:r>
    </w:p>
    <w:p w14:paraId="7A6A8E98" w14:textId="05D20DD9" w:rsidR="005F01EA" w:rsidRDefault="005F01EA" w:rsidP="005F01EA">
      <w:pPr>
        <w:spacing w:line="360" w:lineRule="auto"/>
        <w:ind w:firstLine="1701"/>
        <w:jc w:val="both"/>
      </w:pPr>
      <w:r w:rsidRPr="005F01EA">
        <w:rPr>
          <w:b/>
          <w:bCs/>
        </w:rPr>
        <w:t>CONSIDERANDO</w:t>
      </w:r>
      <w:r w:rsidRPr="005F01EA">
        <w:t xml:space="preserve"> que muitos planos de saúde anunciaram, após a primeira onda, desativação dos hospitais de campanha para atendimento a pacientes com Covid-19;</w:t>
      </w:r>
    </w:p>
    <w:p w14:paraId="640468B4" w14:textId="671DC2A9" w:rsidR="00EC4E43" w:rsidRDefault="004E216C" w:rsidP="004E216C">
      <w:pPr>
        <w:spacing w:line="360" w:lineRule="auto"/>
        <w:ind w:firstLine="1701"/>
        <w:jc w:val="both"/>
      </w:pPr>
      <w:r w:rsidRPr="009605B4">
        <w:rPr>
          <w:b/>
          <w:bCs/>
        </w:rPr>
        <w:t>CONSIDERANDO</w:t>
      </w:r>
      <w:r>
        <w:t xml:space="preserve"> o aumento recente</w:t>
      </w:r>
      <w:r w:rsidR="00EC4E43">
        <w:t>, no Estado do Ceará,</w:t>
      </w:r>
      <w:r>
        <w:t xml:space="preserve"> do número de casos de pacientes com </w:t>
      </w:r>
      <w:r w:rsidR="00EC4E43">
        <w:t>COVID-19</w:t>
      </w:r>
      <w:r>
        <w:t>, do número de óbitos e do aumento exponencial de casos atendidos pela rede de saúde</w:t>
      </w:r>
      <w:r w:rsidR="00B4455D">
        <w:rPr>
          <w:rStyle w:val="Refdenotaderodap"/>
        </w:rPr>
        <w:footnoteReference w:id="1"/>
      </w:r>
      <w:r>
        <w:t>, inclusive na rede hospitalar</w:t>
      </w:r>
      <w:r w:rsidR="00B4455D">
        <w:t>;</w:t>
      </w:r>
    </w:p>
    <w:p w14:paraId="7BC1BB3C" w14:textId="2FE285D8" w:rsidR="005F01EA" w:rsidRDefault="005F01EA" w:rsidP="004E216C">
      <w:pPr>
        <w:spacing w:line="360" w:lineRule="auto"/>
        <w:ind w:firstLine="1701"/>
        <w:jc w:val="both"/>
      </w:pPr>
      <w:r w:rsidRPr="005F01EA">
        <w:rPr>
          <w:b/>
          <w:bCs/>
        </w:rPr>
        <w:t>CONSIDERANDO</w:t>
      </w:r>
      <w:r w:rsidRPr="005F01EA">
        <w:t xml:space="preserve"> que muitos dos pacientes suspeitos e confirmados de estarem com o COVID-19 são usuários do sistema privado/suplementar;</w:t>
      </w:r>
    </w:p>
    <w:p w14:paraId="2E275E42" w14:textId="77777777" w:rsidR="005F01EA" w:rsidRDefault="005F01EA" w:rsidP="004E216C">
      <w:pPr>
        <w:spacing w:line="360" w:lineRule="auto"/>
        <w:ind w:firstLine="1701"/>
        <w:jc w:val="both"/>
      </w:pPr>
    </w:p>
    <w:p w14:paraId="635DAA21" w14:textId="43A34241" w:rsidR="00B87C13" w:rsidRDefault="00942C38" w:rsidP="00C30646">
      <w:pPr>
        <w:spacing w:line="360" w:lineRule="auto"/>
        <w:ind w:firstLine="1701"/>
        <w:jc w:val="both"/>
        <w:rPr>
          <w:rFonts w:cs="Times New Roman"/>
          <w:color w:val="70AD47" w:themeColor="accent6"/>
          <w:lang w:eastAsia="pt-BR"/>
        </w:rPr>
      </w:pPr>
      <w:r w:rsidRPr="002622DA">
        <w:rPr>
          <w:rFonts w:cs="Times New Roman"/>
          <w:b/>
          <w:bCs/>
          <w:color w:val="auto"/>
          <w:lang w:eastAsia="pt-BR"/>
        </w:rPr>
        <w:t>CONSIDERANDO</w:t>
      </w:r>
      <w:r w:rsidRPr="002622DA">
        <w:rPr>
          <w:rFonts w:cs="Times New Roman"/>
          <w:color w:val="auto"/>
          <w:lang w:eastAsia="pt-BR"/>
        </w:rPr>
        <w:t xml:space="preserve"> o Procedimento Administrativo n.º ______________ instaurado para </w:t>
      </w:r>
      <w:r>
        <w:rPr>
          <w:rFonts w:eastAsia="Times New Roman" w:cs="Times New Roman"/>
          <w:color w:val="231F20"/>
          <w:lang w:eastAsia="pt-BR"/>
        </w:rPr>
        <w:t>____________________</w:t>
      </w:r>
      <w:r>
        <w:rPr>
          <w:rFonts w:cs="Times New Roman"/>
          <w:color w:val="70AD47" w:themeColor="accent6"/>
          <w:lang w:eastAsia="pt-BR"/>
        </w:rPr>
        <w:t>;</w:t>
      </w:r>
    </w:p>
    <w:p w14:paraId="0687B7B8" w14:textId="77777777" w:rsidR="0019285C" w:rsidRDefault="0019285C" w:rsidP="0019285C">
      <w:pPr>
        <w:spacing w:line="360" w:lineRule="auto"/>
        <w:ind w:firstLine="1701"/>
        <w:jc w:val="both"/>
        <w:rPr>
          <w:rFonts w:eastAsia="Times New Roman" w:cs="Times New Roman"/>
          <w:b/>
          <w:bCs/>
        </w:rPr>
      </w:pPr>
    </w:p>
    <w:p w14:paraId="7719F0BA" w14:textId="3A58F531" w:rsidR="005F01EA" w:rsidRPr="005F01EA" w:rsidRDefault="0019285C" w:rsidP="005F01EA">
      <w:pPr>
        <w:spacing w:line="360" w:lineRule="auto"/>
        <w:ind w:firstLine="1701"/>
        <w:jc w:val="both"/>
        <w:rPr>
          <w:rFonts w:cs="Times New Roman"/>
          <w:b/>
          <w:bCs/>
          <w:color w:val="auto"/>
          <w:lang w:eastAsia="pt-BR"/>
        </w:rPr>
      </w:pPr>
      <w:r w:rsidRPr="005F01EA">
        <w:rPr>
          <w:rFonts w:cs="Times New Roman"/>
          <w:b/>
          <w:bCs/>
          <w:color w:val="auto"/>
          <w:lang w:eastAsia="pt-BR"/>
        </w:rPr>
        <w:t xml:space="preserve">RESOLVE RECOMENDAR </w:t>
      </w:r>
      <w:r w:rsidR="005F01EA" w:rsidRPr="005F01EA">
        <w:rPr>
          <w:rFonts w:cs="Times New Roman"/>
          <w:b/>
          <w:bCs/>
          <w:color w:val="auto"/>
          <w:lang w:eastAsia="pt-BR"/>
        </w:rPr>
        <w:t>aos Hospitais Privados do Município de _____________________ que adotem as seguintes providências:</w:t>
      </w:r>
    </w:p>
    <w:p w14:paraId="7789DD97" w14:textId="023993F5" w:rsidR="005F01EA" w:rsidRPr="005F01EA" w:rsidRDefault="005F01EA" w:rsidP="005F01EA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5F01EA">
        <w:rPr>
          <w:rFonts w:eastAsia="Times New Roman" w:cs="Times New Roman"/>
        </w:rPr>
        <w:t>1) apresentem, no prazo de 05 (cinco) dias úteis, os planos de contingenciamento em relação a segunda onda da pandemia do novo coronavírus;</w:t>
      </w:r>
    </w:p>
    <w:p w14:paraId="0D5D78CA" w14:textId="706E8C17" w:rsidR="005F01EA" w:rsidRPr="005F01EA" w:rsidRDefault="005F01EA" w:rsidP="005F01EA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5F01EA">
        <w:rPr>
          <w:rFonts w:eastAsia="Times New Roman" w:cs="Times New Roman"/>
        </w:rPr>
        <w:t>2) adotem as providências necessárias para garantir o direito à saúde e o atendimento de seus consumidores, através do sistema privado de saúde, durante a segunda onda da pandemia, conforme determinações das autoridades sanitárias estadual e dos planos de contingenciamento do Estado do Ceará, informando sobre as medidas adotadas, e prestando as seguintes informações em 05 (cinco) dias úteis, no que diz respeito:</w:t>
      </w:r>
    </w:p>
    <w:p w14:paraId="55EF9893" w14:textId="77777777" w:rsidR="005F01EA" w:rsidRPr="005F01EA" w:rsidRDefault="005F01EA" w:rsidP="00B15906">
      <w:pPr>
        <w:spacing w:line="360" w:lineRule="auto"/>
        <w:jc w:val="both"/>
        <w:rPr>
          <w:rFonts w:eastAsia="Times New Roman" w:cs="Times New Roman"/>
        </w:rPr>
      </w:pPr>
      <w:r w:rsidRPr="005F01EA">
        <w:rPr>
          <w:rFonts w:eastAsia="Times New Roman" w:cs="Times New Roman"/>
        </w:rPr>
        <w:t>2.1) os protocolos relativos aos seus clientes pacientes suspeitos (Síndrome Respiratória Aguda Grave e Síndrome Gripal) e com confirmação de infecção por COVID-19, inclusive na emergência;</w:t>
      </w:r>
    </w:p>
    <w:p w14:paraId="63BD2C45" w14:textId="77777777" w:rsidR="005F01EA" w:rsidRPr="005F01EA" w:rsidRDefault="005F01EA" w:rsidP="00B15906">
      <w:pPr>
        <w:spacing w:line="360" w:lineRule="auto"/>
        <w:jc w:val="both"/>
        <w:rPr>
          <w:rFonts w:eastAsia="Times New Roman" w:cs="Times New Roman"/>
        </w:rPr>
      </w:pPr>
      <w:r w:rsidRPr="005F01EA">
        <w:rPr>
          <w:rFonts w:eastAsia="Times New Roman" w:cs="Times New Roman"/>
        </w:rPr>
        <w:t>2.2) o estoque atual de EPI, se há material disponível para as equipes, bem como a estimativa de prazo de duração dos EPIS existentes;</w:t>
      </w:r>
    </w:p>
    <w:p w14:paraId="6B585058" w14:textId="643E7193" w:rsidR="005F01EA" w:rsidRPr="005F01EA" w:rsidRDefault="005F01EA" w:rsidP="00B15906">
      <w:pPr>
        <w:spacing w:line="360" w:lineRule="auto"/>
        <w:jc w:val="both"/>
        <w:rPr>
          <w:rFonts w:eastAsia="Times New Roman" w:cs="Times New Roman"/>
        </w:rPr>
      </w:pPr>
      <w:r w:rsidRPr="005F01EA">
        <w:rPr>
          <w:rFonts w:eastAsia="Times New Roman" w:cs="Times New Roman"/>
        </w:rPr>
        <w:lastRenderedPageBreak/>
        <w:t xml:space="preserve">2.3) qual o tempo desde o atendimento até a internação dos pacientes acometidos por COVID-19 e, ainda que não haja, dos pacientes com suspeita </w:t>
      </w:r>
      <w:r w:rsidR="00B15906">
        <w:rPr>
          <w:rFonts w:eastAsia="Times New Roman" w:cs="Times New Roman"/>
        </w:rPr>
        <w:t xml:space="preserve">de </w:t>
      </w:r>
      <w:r w:rsidRPr="005F01EA">
        <w:rPr>
          <w:rFonts w:eastAsia="Times New Roman" w:cs="Times New Roman"/>
        </w:rPr>
        <w:t>infecção, informando o fluxo de admissão;</w:t>
      </w:r>
    </w:p>
    <w:p w14:paraId="360F34C8" w14:textId="77777777" w:rsidR="005F01EA" w:rsidRPr="005F01EA" w:rsidRDefault="005F01EA" w:rsidP="00B15906">
      <w:pPr>
        <w:spacing w:line="360" w:lineRule="auto"/>
        <w:jc w:val="both"/>
        <w:rPr>
          <w:rFonts w:eastAsia="Times New Roman" w:cs="Times New Roman"/>
        </w:rPr>
      </w:pPr>
      <w:r w:rsidRPr="005F01EA">
        <w:rPr>
          <w:rFonts w:eastAsia="Times New Roman" w:cs="Times New Roman"/>
        </w:rPr>
        <w:t>2.4) quanto ao número de leitos (hospitalares e de terapia intensiva) passíveis de isolamento para pacientes com COVID-19 e para outras enfermidades:</w:t>
      </w:r>
    </w:p>
    <w:p w14:paraId="0068BD65" w14:textId="4A97F330" w:rsidR="005F01EA" w:rsidRPr="005F01EA" w:rsidRDefault="005F01EA" w:rsidP="00B15906">
      <w:pPr>
        <w:spacing w:line="360" w:lineRule="auto"/>
        <w:ind w:firstLine="426"/>
        <w:jc w:val="both"/>
        <w:rPr>
          <w:rFonts w:eastAsia="Times New Roman" w:cs="Times New Roman"/>
        </w:rPr>
      </w:pPr>
      <w:r w:rsidRPr="005F01EA">
        <w:rPr>
          <w:rFonts w:eastAsia="Times New Roman" w:cs="Times New Roman"/>
        </w:rPr>
        <w:t>2.4.1) se pelo menos 70% deles já se encontra separado atualmente, bem como plano de atuação para segunda onda da crise, inclusive com construção de hospitais de campanha em anexo;</w:t>
      </w:r>
    </w:p>
    <w:p w14:paraId="4D366BE9" w14:textId="766BAE56" w:rsidR="005F01EA" w:rsidRPr="005F01EA" w:rsidRDefault="005F01EA" w:rsidP="00B15906">
      <w:pPr>
        <w:spacing w:line="360" w:lineRule="auto"/>
        <w:ind w:firstLine="426"/>
        <w:jc w:val="both"/>
        <w:rPr>
          <w:rFonts w:eastAsia="Times New Roman" w:cs="Times New Roman"/>
        </w:rPr>
      </w:pPr>
      <w:r w:rsidRPr="005F01EA">
        <w:rPr>
          <w:rFonts w:eastAsia="Times New Roman" w:cs="Times New Roman"/>
        </w:rPr>
        <w:t>2.4.2) Plano de ampliação do número de leitos de terapia intensiva, inclusive de necessidade de UTIS, considerando a situação já real de agravamento da pandemia e consequente sobrecarga do sistema de saúde público do Cear</w:t>
      </w:r>
      <w:r w:rsidR="00B15906">
        <w:rPr>
          <w:rFonts w:eastAsia="Times New Roman" w:cs="Times New Roman"/>
        </w:rPr>
        <w:t>á</w:t>
      </w:r>
      <w:r w:rsidRPr="005F01EA">
        <w:rPr>
          <w:rFonts w:eastAsia="Times New Roman" w:cs="Times New Roman"/>
        </w:rPr>
        <w:t>, com planejamento de metas para os próximos 15 (quinze) dias;</w:t>
      </w:r>
    </w:p>
    <w:p w14:paraId="3BD6A788" w14:textId="77777777" w:rsidR="005F01EA" w:rsidRPr="005F01EA" w:rsidRDefault="005F01EA" w:rsidP="00B15906">
      <w:pPr>
        <w:spacing w:line="360" w:lineRule="auto"/>
        <w:jc w:val="both"/>
        <w:rPr>
          <w:rFonts w:eastAsia="Times New Roman" w:cs="Times New Roman"/>
        </w:rPr>
      </w:pPr>
      <w:r w:rsidRPr="005F01EA">
        <w:rPr>
          <w:rFonts w:eastAsia="Times New Roman" w:cs="Times New Roman"/>
        </w:rPr>
        <w:t>2.5) a quantidade de usuários que compõe a sua carteira com direito a internação hospitalar, e a partir daí esclareça o critério utilizado para fazer a reserva de leitos clínicos e abrir leitos de UTI;</w:t>
      </w:r>
    </w:p>
    <w:p w14:paraId="34E5E51F" w14:textId="2EDF48D3" w:rsidR="005F01EA" w:rsidRPr="005F01EA" w:rsidRDefault="005F01EA" w:rsidP="00B15906">
      <w:pPr>
        <w:spacing w:line="360" w:lineRule="auto"/>
        <w:jc w:val="both"/>
        <w:rPr>
          <w:rFonts w:eastAsia="Times New Roman" w:cs="Times New Roman"/>
        </w:rPr>
      </w:pPr>
      <w:r w:rsidRPr="005F01EA">
        <w:rPr>
          <w:rFonts w:eastAsia="Times New Roman" w:cs="Times New Roman"/>
        </w:rPr>
        <w:t xml:space="preserve">2.6) as providências adotadas para manter o atendimento à população e quais as providências utilizadas em relação aos hospitais que anunciaram que fecharam as portas da emergência e/ou que não fizeram a ampliação necessária de leitos e a contratação de mais profissionais, </w:t>
      </w:r>
      <w:r w:rsidR="00B15906" w:rsidRPr="005F01EA">
        <w:rPr>
          <w:rFonts w:eastAsia="Times New Roman" w:cs="Times New Roman"/>
        </w:rPr>
        <w:t>EPI</w:t>
      </w:r>
      <w:r w:rsidRPr="005F01EA">
        <w:rPr>
          <w:rFonts w:eastAsia="Times New Roman" w:cs="Times New Roman"/>
        </w:rPr>
        <w:t>s, equipamentos e insumos;</w:t>
      </w:r>
    </w:p>
    <w:p w14:paraId="2733A2FB" w14:textId="210C2BEA" w:rsidR="005F01EA" w:rsidRPr="005F01EA" w:rsidRDefault="005F01EA" w:rsidP="00B15906">
      <w:pPr>
        <w:spacing w:line="360" w:lineRule="auto"/>
        <w:jc w:val="both"/>
        <w:rPr>
          <w:rFonts w:eastAsia="Times New Roman" w:cs="Times New Roman"/>
        </w:rPr>
      </w:pPr>
      <w:r w:rsidRPr="005F01EA">
        <w:rPr>
          <w:rFonts w:eastAsia="Times New Roman" w:cs="Times New Roman"/>
        </w:rPr>
        <w:t>2.</w:t>
      </w:r>
      <w:r w:rsidR="00B15906">
        <w:rPr>
          <w:rFonts w:eastAsia="Times New Roman" w:cs="Times New Roman"/>
        </w:rPr>
        <w:t>7</w:t>
      </w:r>
      <w:r w:rsidRPr="005F01EA">
        <w:rPr>
          <w:rFonts w:eastAsia="Times New Roman" w:cs="Times New Roman"/>
        </w:rPr>
        <w:t>) quantos leitos novos foram criados para atender a demanda relacionada a segunda onda da COVID-19, conforme vem fazendo a rede pública;</w:t>
      </w:r>
    </w:p>
    <w:p w14:paraId="03003FF1" w14:textId="7C43C297" w:rsidR="005F01EA" w:rsidRPr="005F01EA" w:rsidRDefault="005F01EA" w:rsidP="00B15906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5F01EA">
        <w:rPr>
          <w:rFonts w:eastAsia="Times New Roman" w:cs="Times New Roman"/>
        </w:rPr>
        <w:t>3) Garantam a separação dos pacientes da emergência geral dos casos suspeitos de COVID-19, desde o fluxo de admissão e durante todo o tempo de internação;</w:t>
      </w:r>
    </w:p>
    <w:p w14:paraId="3BA1C257" w14:textId="77777777" w:rsidR="005F01EA" w:rsidRPr="005F01EA" w:rsidRDefault="005F01EA" w:rsidP="00E0011C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5F01EA">
        <w:rPr>
          <w:rFonts w:eastAsia="Times New Roman" w:cs="Times New Roman"/>
        </w:rPr>
        <w:t>4) Ampliem o pessoal administrativo, viabilizando o fornecimento de dados epidemiológicos, que são obrigatórios, à autoridade sanitária com agilidade;</w:t>
      </w:r>
    </w:p>
    <w:p w14:paraId="47A94984" w14:textId="77777777" w:rsidR="005F01EA" w:rsidRPr="005F01EA" w:rsidRDefault="005F01EA" w:rsidP="00E0011C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5F01EA">
        <w:rPr>
          <w:rFonts w:eastAsia="Times New Roman" w:cs="Times New Roman"/>
        </w:rPr>
        <w:t>5) Ampliem e melhorem a sistemática de informação com seus consumidores, para que informem aos usuários, através do site institucional e outros meios de comunicação, quais serviços estão sendo efetivamente oferecidos pelo Hospital (em especial a disponibilidade de tratamentos intensivos ou semi-intensivos, tratamento de casos leves, médios e graves, e fluxo de atendimento no caso de agravamento do quadro clínico);</w:t>
      </w:r>
    </w:p>
    <w:p w14:paraId="4476297D" w14:textId="22D99616" w:rsidR="005F01EA" w:rsidRDefault="005F01EA" w:rsidP="00E0011C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5F01EA">
        <w:rPr>
          <w:rFonts w:eastAsia="Times New Roman" w:cs="Times New Roman"/>
        </w:rPr>
        <w:lastRenderedPageBreak/>
        <w:t>6) procedam com a abertura, reabertura ou a manutenção dos hospitais de campanha, estruturas provisórias construídas no início da pandemia para lidar com o recente alto número de pacientes com a doença.</w:t>
      </w:r>
    </w:p>
    <w:p w14:paraId="105F80FE" w14:textId="43371360" w:rsidR="00AB6C12" w:rsidRPr="005F01EA" w:rsidRDefault="00AB6C12" w:rsidP="00E0011C">
      <w:pPr>
        <w:spacing w:line="360" w:lineRule="auto"/>
        <w:ind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7) Informe </w:t>
      </w:r>
      <w:r w:rsidRPr="00AB6C12">
        <w:rPr>
          <w:rFonts w:eastAsia="Times New Roman" w:cs="Times New Roman"/>
        </w:rPr>
        <w:t>se</w:t>
      </w:r>
      <w:r>
        <w:rPr>
          <w:rFonts w:eastAsia="Times New Roman" w:cs="Times New Roman"/>
        </w:rPr>
        <w:t xml:space="preserve">, além do </w:t>
      </w:r>
      <w:r w:rsidRPr="005F01EA">
        <w:rPr>
          <w:rFonts w:eastAsia="Times New Roman" w:cs="Times New Roman"/>
        </w:rPr>
        <w:t>sistema privado de saúde</w:t>
      </w:r>
      <w:r>
        <w:rPr>
          <w:rFonts w:eastAsia="Times New Roman" w:cs="Times New Roman"/>
        </w:rPr>
        <w:t>, também</w:t>
      </w:r>
      <w:r w:rsidRPr="00AB6C12">
        <w:rPr>
          <w:rFonts w:eastAsia="Times New Roman" w:cs="Times New Roman"/>
        </w:rPr>
        <w:t xml:space="preserve"> atende pacientes do </w:t>
      </w:r>
      <w:r>
        <w:rPr>
          <w:rFonts w:eastAsia="Times New Roman" w:cs="Times New Roman"/>
        </w:rPr>
        <w:t>Sistema Único de Saúde (SUS), informando, em caso afirmativo, quanto recebeu de repasse do SUS, nos anos de 2020 e 2021 – verbas Geral e COVID-19.</w:t>
      </w:r>
    </w:p>
    <w:p w14:paraId="7FBE020B" w14:textId="77777777" w:rsidR="00B15906" w:rsidRDefault="00B15906" w:rsidP="0019285C">
      <w:pPr>
        <w:spacing w:line="360" w:lineRule="auto"/>
        <w:ind w:firstLine="1701"/>
        <w:jc w:val="both"/>
        <w:rPr>
          <w:rFonts w:eastAsia="Times New Roman" w:cs="Times New Roman"/>
        </w:rPr>
      </w:pPr>
    </w:p>
    <w:p w14:paraId="0A049469" w14:textId="43FDA5B6" w:rsidR="00745B9E" w:rsidRDefault="0019285C" w:rsidP="0019285C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7F3349">
        <w:rPr>
          <w:rFonts w:eastAsia="Times New Roman" w:cs="Times New Roman"/>
        </w:rPr>
        <w:t xml:space="preserve">Remeta-se a presente RECOMENDAÇÃO para </w:t>
      </w:r>
      <w:r w:rsidR="00E0011C">
        <w:rPr>
          <w:rFonts w:eastAsia="Times New Roman" w:cs="Times New Roman"/>
        </w:rPr>
        <w:t xml:space="preserve">os hospitais privados </w:t>
      </w:r>
      <w:r w:rsidR="00AB6C12">
        <w:rPr>
          <w:rFonts w:eastAsia="Times New Roman" w:cs="Times New Roman"/>
        </w:rPr>
        <w:t xml:space="preserve">do município de </w:t>
      </w:r>
      <w:r w:rsidR="00E0011C">
        <w:rPr>
          <w:rFonts w:eastAsia="Times New Roman" w:cs="Times New Roman"/>
        </w:rPr>
        <w:t>______________</w:t>
      </w:r>
      <w:r w:rsidRPr="007F3349">
        <w:rPr>
          <w:rFonts w:eastAsia="Times New Roman" w:cs="Times New Roman"/>
        </w:rPr>
        <w:t xml:space="preserve"> para adoção das providências cabíveis, e ainda para: </w:t>
      </w:r>
    </w:p>
    <w:p w14:paraId="56B5791B" w14:textId="77777777" w:rsidR="00745B9E" w:rsidRDefault="0019285C" w:rsidP="0019285C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7F3349">
        <w:rPr>
          <w:rFonts w:eastAsia="Times New Roman" w:cs="Times New Roman"/>
        </w:rPr>
        <w:t xml:space="preserve">a) As rádios difusoras do Município para conhecimento da RECOMENDAÇÃO, dando a devida publicidade; </w:t>
      </w:r>
    </w:p>
    <w:p w14:paraId="0CAABADA" w14:textId="6CBE2C46" w:rsidR="0019285C" w:rsidRPr="007F3349" w:rsidRDefault="0019285C" w:rsidP="0019285C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7F3349">
        <w:rPr>
          <w:rFonts w:eastAsia="Times New Roman" w:cs="Times New Roman"/>
        </w:rPr>
        <w:t>b) O Centro de Apoio Operacional da Cidadania, por meio de sistema informatizado.</w:t>
      </w:r>
    </w:p>
    <w:p w14:paraId="0CCEF0F9" w14:textId="77777777" w:rsidR="0019285C" w:rsidRPr="007F3349" w:rsidRDefault="0019285C" w:rsidP="0019285C">
      <w:pPr>
        <w:spacing w:line="360" w:lineRule="auto"/>
        <w:ind w:firstLine="1701"/>
        <w:jc w:val="both"/>
        <w:rPr>
          <w:rFonts w:eastAsia="Times New Roman" w:cs="Times New Roman"/>
        </w:rPr>
      </w:pPr>
    </w:p>
    <w:p w14:paraId="79FF47A3" w14:textId="4EFC8862" w:rsidR="0019285C" w:rsidRPr="007F3349" w:rsidRDefault="0019285C" w:rsidP="0019285C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7F3349">
        <w:rPr>
          <w:rFonts w:eastAsia="Times New Roman" w:cs="Times New Roman"/>
        </w:rPr>
        <w:t xml:space="preserve">Requisite-se, na forma do artigo 27, parágrafo único, inciso IV da Lei nº8.625/93, </w:t>
      </w:r>
      <w:r w:rsidR="00E0011C">
        <w:rPr>
          <w:rFonts w:eastAsia="Times New Roman" w:cs="Times New Roman"/>
        </w:rPr>
        <w:t>aos destinatários</w:t>
      </w:r>
      <w:r w:rsidRPr="007F3349">
        <w:rPr>
          <w:rFonts w:eastAsia="Times New Roman" w:cs="Times New Roman"/>
        </w:rPr>
        <w:t xml:space="preserve">, no prazo de </w:t>
      </w:r>
      <w:r w:rsidR="00E0011C">
        <w:rPr>
          <w:rFonts w:eastAsia="Times New Roman" w:cs="Times New Roman"/>
        </w:rPr>
        <w:t>___ dias</w:t>
      </w:r>
      <w:r w:rsidRPr="007F3349">
        <w:rPr>
          <w:rFonts w:eastAsia="Times New Roman" w:cs="Times New Roman"/>
        </w:rPr>
        <w:t>, comunique a esta P</w:t>
      </w:r>
      <w:r>
        <w:rPr>
          <w:rFonts w:eastAsia="Times New Roman" w:cs="Times New Roman"/>
        </w:rPr>
        <w:t>r</w:t>
      </w:r>
      <w:r w:rsidRPr="007F3349">
        <w:rPr>
          <w:rFonts w:eastAsia="Times New Roman" w:cs="Times New Roman"/>
        </w:rPr>
        <w:t xml:space="preserve">omotoria, através do e-mail </w:t>
      </w:r>
      <w:r>
        <w:rPr>
          <w:rFonts w:eastAsia="Times New Roman" w:cs="Times New Roman"/>
        </w:rPr>
        <w:t>______________________</w:t>
      </w:r>
      <w:r w:rsidRPr="007F3349">
        <w:rPr>
          <w:rFonts w:eastAsia="Times New Roman" w:cs="Times New Roman"/>
        </w:rPr>
        <w:t xml:space="preserve"> as providências adotadas para cumprimento desta RECOMENDAÇÃO.</w:t>
      </w:r>
    </w:p>
    <w:p w14:paraId="516C277C" w14:textId="77777777" w:rsidR="0019285C" w:rsidRPr="007F3349" w:rsidRDefault="0019285C" w:rsidP="0019285C">
      <w:pPr>
        <w:spacing w:line="360" w:lineRule="auto"/>
        <w:ind w:firstLine="1701"/>
        <w:jc w:val="both"/>
        <w:rPr>
          <w:rFonts w:eastAsia="Times New Roman" w:cs="Times New Roman"/>
        </w:rPr>
      </w:pPr>
    </w:p>
    <w:p w14:paraId="3D338FD9" w14:textId="77777777" w:rsidR="0019285C" w:rsidRDefault="0019285C" w:rsidP="0019285C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Publique-se no Diário do MPCE.</w:t>
      </w:r>
    </w:p>
    <w:p w14:paraId="7E223C76" w14:textId="77777777" w:rsidR="0019285C" w:rsidRDefault="0019285C" w:rsidP="0019285C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Registre-se.</w:t>
      </w:r>
    </w:p>
    <w:p w14:paraId="027689C2" w14:textId="77777777" w:rsidR="0019285C" w:rsidRDefault="0019285C" w:rsidP="0019285C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Arquive-se.</w:t>
      </w:r>
    </w:p>
    <w:p w14:paraId="188F99F1" w14:textId="77777777" w:rsidR="0019285C" w:rsidRDefault="0019285C" w:rsidP="0019285C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</w:p>
    <w:p w14:paraId="58116A73" w14:textId="77777777" w:rsidR="0019285C" w:rsidRPr="00656B60" w:rsidRDefault="0019285C" w:rsidP="0019285C">
      <w:pPr>
        <w:spacing w:line="360" w:lineRule="atLeast"/>
        <w:jc w:val="center"/>
        <w:rPr>
          <w:rFonts w:eastAsia="Times New Roman" w:cs="Times New Roman"/>
          <w:color w:val="auto"/>
        </w:rPr>
      </w:pPr>
      <w:r w:rsidRPr="00656B60">
        <w:rPr>
          <w:rFonts w:eastAsia="Times New Roman" w:cs="Times New Roman"/>
          <w:color w:val="auto"/>
        </w:rPr>
        <w:t>Município, data.</w:t>
      </w:r>
    </w:p>
    <w:p w14:paraId="2F2D9B97" w14:textId="77777777" w:rsidR="0019285C" w:rsidRPr="00656B60" w:rsidRDefault="0019285C" w:rsidP="0019285C">
      <w:pPr>
        <w:spacing w:line="360" w:lineRule="atLeast"/>
        <w:jc w:val="center"/>
        <w:rPr>
          <w:rFonts w:eastAsia="Times New Roman" w:cs="Times New Roman"/>
          <w:color w:val="auto"/>
        </w:rPr>
      </w:pPr>
      <w:r w:rsidRPr="00656B60">
        <w:rPr>
          <w:rFonts w:eastAsia="Times New Roman" w:cs="Times New Roman"/>
          <w:color w:val="auto"/>
        </w:rPr>
        <w:t>Promotor de Justiça</w:t>
      </w:r>
    </w:p>
    <w:p w14:paraId="03B6B338" w14:textId="77777777" w:rsidR="0019285C" w:rsidRDefault="0019285C" w:rsidP="0019285C">
      <w:pPr>
        <w:spacing w:line="360" w:lineRule="atLeast"/>
        <w:ind w:firstLine="1701"/>
        <w:jc w:val="center"/>
        <w:rPr>
          <w:rFonts w:eastAsia="Times New Roman" w:cs="Times New Roman"/>
          <w:color w:val="70AD47"/>
        </w:rPr>
      </w:pPr>
    </w:p>
    <w:p w14:paraId="30B39F6C" w14:textId="77777777" w:rsidR="00B87C13" w:rsidRDefault="00B87C13">
      <w:pPr>
        <w:spacing w:line="360" w:lineRule="auto"/>
        <w:ind w:firstLine="1701"/>
        <w:jc w:val="center"/>
      </w:pPr>
    </w:p>
    <w:sectPr w:rsidR="00B87C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119" w:right="1134" w:bottom="1134" w:left="1701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62EB4" w14:textId="77777777" w:rsidR="00581439" w:rsidRDefault="00581439">
      <w:pPr>
        <w:spacing w:line="240" w:lineRule="auto"/>
      </w:pPr>
      <w:r>
        <w:separator/>
      </w:r>
    </w:p>
  </w:endnote>
  <w:endnote w:type="continuationSeparator" w:id="0">
    <w:p w14:paraId="27CC2269" w14:textId="77777777" w:rsidR="00581439" w:rsidRDefault="00581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;Gentium Basic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089FA" w14:textId="77777777" w:rsidR="004E216C" w:rsidRDefault="004E21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CA64" w14:textId="77777777" w:rsidR="007B6229" w:rsidRDefault="004E216C">
    <w:pPr>
      <w:pStyle w:val="Rodap"/>
      <w:rPr>
        <w:rFonts w:ascii="Arial" w:hAnsi="Arial" w:cs="Arial"/>
        <w:b/>
        <w:bCs/>
        <w:sz w:val="16"/>
        <w:szCs w:val="16"/>
        <w:u w:val="single"/>
      </w:rPr>
    </w:pPr>
    <w:r>
      <w:rPr>
        <w:noProof/>
      </w:rPr>
      <w:drawing>
        <wp:inline distT="0" distB="0" distL="0" distR="0" wp14:anchorId="47718DC3" wp14:editId="6A584ED3">
          <wp:extent cx="6121400" cy="63500"/>
          <wp:effectExtent l="0" t="0" r="0" b="0"/>
          <wp:docPr id="4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3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99A4CED" w14:textId="77777777" w:rsidR="007B6229" w:rsidRDefault="007B6229">
    <w:pPr>
      <w:pStyle w:val="Rodap"/>
      <w:jc w:val="center"/>
      <w:rPr>
        <w:rFonts w:ascii="Arial" w:hAnsi="Arial" w:cs="Arial"/>
        <w:b/>
        <w:bCs/>
        <w:sz w:val="16"/>
        <w:szCs w:val="16"/>
        <w:u w:val="single"/>
      </w:rPr>
    </w:pPr>
    <w:r>
      <w:rPr>
        <w:rFonts w:ascii="Arial" w:hAnsi="Arial" w:cs="Arial"/>
        <w:b/>
        <w:bCs/>
        <w:sz w:val="16"/>
        <w:szCs w:val="16"/>
        <w:u w:val="single"/>
      </w:rPr>
      <w:t>Promotoria de Justiça da Comarca de _______________</w:t>
    </w:r>
  </w:p>
  <w:p w14:paraId="7F85D777" w14:textId="77777777" w:rsidR="007B6229" w:rsidRDefault="007B6229">
    <w:pPr>
      <w:pStyle w:val="Rodap"/>
      <w:jc w:val="center"/>
    </w:pPr>
    <w:r>
      <w:rPr>
        <w:rFonts w:ascii="Arial" w:hAnsi="Arial" w:cs="Arial"/>
        <w:sz w:val="16"/>
        <w:szCs w:val="16"/>
        <w:shd w:val="clear" w:color="auto" w:fill="FFFFFF"/>
      </w:rPr>
      <w:t xml:space="preserve">endereço / </w:t>
    </w:r>
    <w:r>
      <w:rPr>
        <w:rStyle w:val="LinkdaInternet"/>
        <w:rFonts w:ascii="Arial" w:hAnsi="Arial" w:cs="Arial"/>
        <w:sz w:val="16"/>
        <w:szCs w:val="16"/>
        <w:u w:val="none"/>
      </w:rPr>
      <w:t xml:space="preserve">contato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EC1AE" w14:textId="77777777" w:rsidR="004E216C" w:rsidRDefault="004E21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36EB2" w14:textId="77777777" w:rsidR="00581439" w:rsidRDefault="00581439">
      <w:pPr>
        <w:spacing w:line="240" w:lineRule="auto"/>
      </w:pPr>
      <w:r>
        <w:separator/>
      </w:r>
    </w:p>
  </w:footnote>
  <w:footnote w:type="continuationSeparator" w:id="0">
    <w:p w14:paraId="2845D248" w14:textId="77777777" w:rsidR="00581439" w:rsidRDefault="00581439">
      <w:pPr>
        <w:spacing w:line="240" w:lineRule="auto"/>
      </w:pPr>
      <w:r>
        <w:continuationSeparator/>
      </w:r>
    </w:p>
  </w:footnote>
  <w:footnote w:id="1">
    <w:p w14:paraId="24314D22" w14:textId="1B8D9B84" w:rsidR="00B4455D" w:rsidRDefault="00B4455D">
      <w:pPr>
        <w:pStyle w:val="Textodenotaderodap"/>
      </w:pPr>
      <w:r>
        <w:rPr>
          <w:rStyle w:val="Refdenotaderodap"/>
        </w:rPr>
        <w:footnoteRef/>
      </w:r>
      <w:r>
        <w:t xml:space="preserve"> Dados disponíveis no IntegraSUS: </w:t>
      </w:r>
      <w:hyperlink r:id="rId1" w:history="1">
        <w:r w:rsidRPr="00F47249">
          <w:rPr>
            <w:rStyle w:val="Hyperlink"/>
          </w:rPr>
          <w:t>https://indicadores.integrasus.saude.ce.gov.br/indicadores/indicadores-coronavirus/nivel-alerta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636DC" w14:textId="77777777" w:rsidR="004E216C" w:rsidRDefault="004E21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580B0" w14:textId="77777777" w:rsidR="007B6229" w:rsidRDefault="004E216C">
    <w:pPr>
      <w:pStyle w:val="Corpodetexto"/>
      <w:spacing w:line="240" w:lineRule="auto"/>
      <w:rPr>
        <w:rFonts w:cs="Times New Roman"/>
        <w:b/>
      </w:rPr>
    </w:pPr>
    <w:r>
      <w:rPr>
        <w:noProof/>
      </w:rPr>
      <w:drawing>
        <wp:inline distT="0" distB="0" distL="0" distR="0" wp14:anchorId="40B08B47" wp14:editId="4FDC09D2">
          <wp:extent cx="5803900" cy="533400"/>
          <wp:effectExtent l="0" t="0" r="0" b="0"/>
          <wp:docPr id="5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6B6C1B8" w14:textId="77777777" w:rsidR="007B6229" w:rsidRDefault="007B6229">
    <w:pPr>
      <w:pStyle w:val="Corpodetexto"/>
      <w:spacing w:line="240" w:lineRule="auto"/>
      <w:jc w:val="center"/>
      <w:rPr>
        <w:rFonts w:cs="Times New Roman"/>
        <w:b/>
      </w:rPr>
    </w:pPr>
    <w:r>
      <w:rPr>
        <w:rFonts w:cs="Times New Roman"/>
        <w:b/>
      </w:rPr>
      <w:t>MINISTÉRIO PÚBLICO DO ESTADO DO CEARÁ</w:t>
    </w:r>
  </w:p>
  <w:p w14:paraId="1C328B42" w14:textId="77777777" w:rsidR="007B6229" w:rsidRDefault="007B6229">
    <w:pPr>
      <w:pStyle w:val="Corpodetexto"/>
      <w:spacing w:line="240" w:lineRule="auto"/>
      <w:jc w:val="center"/>
      <w:rPr>
        <w:rFonts w:cs="Times New Roman"/>
        <w:b/>
      </w:rPr>
    </w:pPr>
    <w:r>
      <w:rPr>
        <w:rFonts w:cs="Times New Roman"/>
        <w:b/>
      </w:rPr>
      <w:t>PROMOTORIA DE JUSTIÇA DA COMARCA DE 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5B4C1" w14:textId="77777777" w:rsidR="004E216C" w:rsidRDefault="004E21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61DEE"/>
    <w:multiLevelType w:val="multilevel"/>
    <w:tmpl w:val="DBF28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9D2AB9"/>
    <w:multiLevelType w:val="hybridMultilevel"/>
    <w:tmpl w:val="EDA80182"/>
    <w:lvl w:ilvl="0" w:tplc="1108E17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02F5573"/>
    <w:multiLevelType w:val="multilevel"/>
    <w:tmpl w:val="A7F01C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69E32E7"/>
    <w:multiLevelType w:val="hybridMultilevel"/>
    <w:tmpl w:val="9146A50C"/>
    <w:lvl w:ilvl="0" w:tplc="DDFA81B8">
      <w:start w:val="1"/>
      <w:numFmt w:val="lowerLetter"/>
      <w:lvlText w:val="%1)"/>
      <w:lvlJc w:val="left"/>
      <w:pPr>
        <w:ind w:left="3867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3">
      <w:start w:val="1"/>
      <w:numFmt w:val="upp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38FC5B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937C19"/>
    <w:multiLevelType w:val="multilevel"/>
    <w:tmpl w:val="5FACC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6" w15:restartNumberingAfterBreak="0">
    <w:nsid w:val="54686D9F"/>
    <w:multiLevelType w:val="multilevel"/>
    <w:tmpl w:val="8EA6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A8A1FE1"/>
    <w:multiLevelType w:val="hybridMultilevel"/>
    <w:tmpl w:val="89FADA94"/>
    <w:lvl w:ilvl="0" w:tplc="1108E17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745A6"/>
    <w:multiLevelType w:val="hybridMultilevel"/>
    <w:tmpl w:val="77964EF0"/>
    <w:lvl w:ilvl="0" w:tplc="DDFA81B8">
      <w:start w:val="1"/>
      <w:numFmt w:val="lowerLetter"/>
      <w:lvlText w:val="%1)"/>
      <w:lvlJc w:val="left"/>
      <w:pPr>
        <w:ind w:left="3867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5DA719A7"/>
    <w:multiLevelType w:val="multilevel"/>
    <w:tmpl w:val="C8D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5FA17006"/>
    <w:multiLevelType w:val="hybridMultilevel"/>
    <w:tmpl w:val="C63CA50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6A730FE9"/>
    <w:multiLevelType w:val="multilevel"/>
    <w:tmpl w:val="3990D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6557C83"/>
    <w:multiLevelType w:val="hybridMultilevel"/>
    <w:tmpl w:val="3C04D7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7240F"/>
    <w:multiLevelType w:val="multilevel"/>
    <w:tmpl w:val="37ECE49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F971509"/>
    <w:multiLevelType w:val="hybridMultilevel"/>
    <w:tmpl w:val="F774CBA2"/>
    <w:lvl w:ilvl="0" w:tplc="DDFA81B8">
      <w:start w:val="1"/>
      <w:numFmt w:val="lowerLetter"/>
      <w:lvlText w:val="%1)"/>
      <w:lvlJc w:val="left"/>
      <w:pPr>
        <w:ind w:left="2166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C94F82D"/>
    <w:rsid w:val="00026433"/>
    <w:rsid w:val="00060FBE"/>
    <w:rsid w:val="00066351"/>
    <w:rsid w:val="000A18B6"/>
    <w:rsid w:val="000B5725"/>
    <w:rsid w:val="0012226C"/>
    <w:rsid w:val="0019193A"/>
    <w:rsid w:val="0019285C"/>
    <w:rsid w:val="002622DA"/>
    <w:rsid w:val="002F2380"/>
    <w:rsid w:val="00355F12"/>
    <w:rsid w:val="00395F52"/>
    <w:rsid w:val="003A7ECF"/>
    <w:rsid w:val="00407B3C"/>
    <w:rsid w:val="004A3525"/>
    <w:rsid w:val="004B7A00"/>
    <w:rsid w:val="004E216C"/>
    <w:rsid w:val="00522B4F"/>
    <w:rsid w:val="00542077"/>
    <w:rsid w:val="00581439"/>
    <w:rsid w:val="005B5239"/>
    <w:rsid w:val="005F01EA"/>
    <w:rsid w:val="006342C3"/>
    <w:rsid w:val="006406FF"/>
    <w:rsid w:val="0065575D"/>
    <w:rsid w:val="006707C1"/>
    <w:rsid w:val="006A543B"/>
    <w:rsid w:val="006E0E51"/>
    <w:rsid w:val="00710654"/>
    <w:rsid w:val="00745B9E"/>
    <w:rsid w:val="007521CB"/>
    <w:rsid w:val="007B6229"/>
    <w:rsid w:val="007E4D3C"/>
    <w:rsid w:val="00864F0F"/>
    <w:rsid w:val="00891729"/>
    <w:rsid w:val="008B2B9D"/>
    <w:rsid w:val="00942C38"/>
    <w:rsid w:val="009605B4"/>
    <w:rsid w:val="009E138D"/>
    <w:rsid w:val="00A75DD0"/>
    <w:rsid w:val="00A91CD1"/>
    <w:rsid w:val="00AB612B"/>
    <w:rsid w:val="00AB6C12"/>
    <w:rsid w:val="00AE49EF"/>
    <w:rsid w:val="00B07B3B"/>
    <w:rsid w:val="00B15906"/>
    <w:rsid w:val="00B4455D"/>
    <w:rsid w:val="00B6213F"/>
    <w:rsid w:val="00B87C13"/>
    <w:rsid w:val="00B92103"/>
    <w:rsid w:val="00BB090B"/>
    <w:rsid w:val="00C30646"/>
    <w:rsid w:val="00D17A61"/>
    <w:rsid w:val="00D946F5"/>
    <w:rsid w:val="00DE0154"/>
    <w:rsid w:val="00E0011C"/>
    <w:rsid w:val="00E80E92"/>
    <w:rsid w:val="00EC4E43"/>
    <w:rsid w:val="00F16B0E"/>
    <w:rsid w:val="00F6239D"/>
    <w:rsid w:val="00F82CF0"/>
    <w:rsid w:val="00FF51A2"/>
    <w:rsid w:val="5F8B1830"/>
    <w:rsid w:val="60965DDB"/>
    <w:rsid w:val="6C94F82D"/>
    <w:rsid w:val="7E02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D0660"/>
  <w15:docId w15:val="{13981417-98FB-48B9-91DC-51F1F5B6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ascii="Times New Roman" w:eastAsia="SimSun;宋体" w:hAnsi="Times New Roman" w:cs="Mangal"/>
      <w:color w:val="00000A"/>
      <w:kern w:val="2"/>
      <w:sz w:val="24"/>
    </w:rPr>
  </w:style>
  <w:style w:type="paragraph" w:styleId="Ttulo1">
    <w:name w:val="heading 1"/>
    <w:uiPriority w:val="9"/>
    <w:qFormat/>
    <w:pPr>
      <w:widowControl w:val="0"/>
      <w:numPr>
        <w:numId w:val="1"/>
      </w:numPr>
      <w:suppressAutoHyphens/>
      <w:outlineLvl w:val="0"/>
    </w:pPr>
    <w:rPr>
      <w:b/>
      <w:bCs/>
    </w:rPr>
  </w:style>
  <w:style w:type="paragraph" w:styleId="Ttulo2">
    <w:name w:val="heading 2"/>
    <w:uiPriority w:val="9"/>
    <w:semiHidden/>
    <w:unhideWhenUsed/>
    <w:qFormat/>
    <w:pPr>
      <w:widowControl w:val="0"/>
      <w:numPr>
        <w:ilvl w:val="1"/>
        <w:numId w:val="1"/>
      </w:numPr>
      <w:suppressAutoHyphens/>
      <w:outlineLvl w:val="1"/>
    </w:pPr>
    <w:rPr>
      <w:b/>
      <w:bCs/>
      <w:i/>
      <w:iCs/>
    </w:rPr>
  </w:style>
  <w:style w:type="paragraph" w:styleId="Ttulo3">
    <w:name w:val="heading 3"/>
    <w:uiPriority w:val="9"/>
    <w:semiHidden/>
    <w:unhideWhenUsed/>
    <w:qFormat/>
    <w:pPr>
      <w:widowControl w:val="0"/>
      <w:numPr>
        <w:ilvl w:val="2"/>
        <w:numId w:val="1"/>
      </w:numPr>
      <w:suppressAutoHyphens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Pr>
      <w:rFonts w:ascii="Symbol" w:hAnsi="Symbol" w:cs="Symbol"/>
      <w:lang w:val="pt-BR" w:eastAsia="pt-BR" w:bidi="pt-BR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DefaultParagraphFont">
    <w:name w:val="WW-Default Paragraph Font"/>
    <w:qFormat/>
  </w:style>
  <w:style w:type="character" w:customStyle="1" w:styleId="WW-DefaultParagraphFont1">
    <w:name w:val="WW-Default Paragraph Font1"/>
    <w:qFormat/>
  </w:style>
  <w:style w:type="character" w:customStyle="1" w:styleId="DefaultParagraphFont1">
    <w:name w:val="Default Paragraph Font1"/>
    <w:qFormat/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faseforte">
    <w:name w:val="Ênfase forte"/>
    <w:basedOn w:val="Fontepargpadro"/>
    <w:qFormat/>
    <w:rPr>
      <w:b/>
      <w:bCs/>
    </w:rPr>
  </w:style>
  <w:style w:type="character" w:customStyle="1" w:styleId="normaltextrunscx168548192">
    <w:name w:val="normaltextrun scx168548192"/>
    <w:basedOn w:val="Fontepargpadro"/>
    <w:qFormat/>
  </w:style>
  <w:style w:type="character" w:customStyle="1" w:styleId="spellingerrorscx168548192">
    <w:name w:val="spellingerror scx168548192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954F72"/>
      <w:u w:val="single"/>
    </w:rPr>
  </w:style>
  <w:style w:type="character" w:customStyle="1" w:styleId="ncoradanotaderodap">
    <w:name w:val="Âncora da nota de rodapé"/>
    <w:rPr>
      <w:rFonts w:cs="Times New Roman"/>
      <w:vertAlign w:val="superscript"/>
    </w:rPr>
  </w:style>
  <w:style w:type="character" w:customStyle="1" w:styleId="FootnoteCharacters">
    <w:name w:val="Footnote Characters"/>
    <w:basedOn w:val="Fontepargpadro"/>
    <w:qFormat/>
    <w:rPr>
      <w:rFonts w:cs="Times New Roman"/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/>
      <w:spacing w:val="0"/>
      <w:w w:val="100"/>
      <w:sz w:val="24"/>
      <w:szCs w:val="24"/>
      <w:lang w:val="pt-BR" w:eastAsia="pt-BR" w:bidi="pt-BR"/>
    </w:rPr>
  </w:style>
  <w:style w:type="character" w:customStyle="1" w:styleId="ListLabel2">
    <w:name w:val="ListLabel 2"/>
    <w:qFormat/>
    <w:rPr>
      <w:lang w:val="pt-BR" w:eastAsia="pt-BR" w:bidi="pt-BR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cs="Symbol"/>
      <w:lang w:val="pt-BR" w:eastAsia="pt-BR" w:bidi="pt-BR"/>
    </w:rPr>
  </w:style>
  <w:style w:type="character" w:customStyle="1" w:styleId="ListLabel5">
    <w:name w:val="ListLabel 5"/>
    <w:qFormat/>
    <w:rPr>
      <w:rFonts w:cs="Symbol"/>
      <w:lang w:val="pt-BR" w:eastAsia="pt-BR" w:bidi="pt-BR"/>
    </w:rPr>
  </w:style>
  <w:style w:type="character" w:customStyle="1" w:styleId="ListLabel6">
    <w:name w:val="ListLabel 6"/>
    <w:qFormat/>
    <w:rPr>
      <w:rFonts w:cs="Symbol"/>
      <w:lang w:val="pt-BR" w:eastAsia="pt-BR" w:bidi="pt-BR"/>
    </w:rPr>
  </w:style>
  <w:style w:type="character" w:customStyle="1" w:styleId="ListLabel7">
    <w:name w:val="ListLabel 7"/>
    <w:qFormat/>
    <w:rPr>
      <w:rFonts w:cs="Symbol"/>
      <w:lang w:val="pt-BR" w:eastAsia="pt-BR" w:bidi="pt-BR"/>
    </w:rPr>
  </w:style>
  <w:style w:type="character" w:customStyle="1" w:styleId="ListLabel8">
    <w:name w:val="ListLabel 8"/>
    <w:qFormat/>
    <w:rPr>
      <w:rFonts w:cs="Symbol"/>
      <w:lang w:val="pt-BR" w:eastAsia="pt-BR" w:bidi="pt-BR"/>
    </w:rPr>
  </w:style>
  <w:style w:type="character" w:customStyle="1" w:styleId="ListLabel9">
    <w:name w:val="ListLabel 9"/>
    <w:qFormat/>
    <w:rPr>
      <w:rFonts w:cs="Symbol"/>
      <w:lang w:val="pt-BR" w:eastAsia="pt-BR" w:bidi="pt-BR"/>
    </w:rPr>
  </w:style>
  <w:style w:type="character" w:customStyle="1" w:styleId="ListLabel10">
    <w:name w:val="ListLabel 10"/>
    <w:qFormat/>
    <w:rPr>
      <w:rFonts w:cs="Symbol"/>
      <w:lang w:val="pt-BR" w:eastAsia="pt-BR" w:bidi="pt-BR"/>
    </w:rPr>
  </w:style>
  <w:style w:type="character" w:customStyle="1" w:styleId="ListLabel11">
    <w:name w:val="ListLabel 11"/>
    <w:qFormat/>
    <w:rPr>
      <w:rFonts w:cs="Symbol"/>
      <w:lang w:val="pt-BR" w:eastAsia="pt-BR" w:bidi="pt-BR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next w:val="Corpodetexto"/>
    <w:uiPriority w:val="10"/>
    <w:qFormat/>
    <w:pPr>
      <w:widowControl w:val="0"/>
      <w:suppressAutoHyphens/>
      <w:jc w:val="center"/>
    </w:pPr>
    <w:rPr>
      <w:b/>
      <w:bCs/>
      <w:sz w:val="36"/>
      <w:szCs w:val="36"/>
    </w:rPr>
  </w:style>
  <w:style w:type="paragraph" w:styleId="Corpodetexto">
    <w:name w:val="Body Text"/>
    <w:basedOn w:val="Normal"/>
    <w:pPr>
      <w:spacing w:after="57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0">
    <w:name w:val="Caption0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pPr>
      <w:widowControl w:val="0"/>
      <w:suppressAutoHyphens/>
      <w:spacing w:line="100" w:lineRule="atLeast"/>
      <w:textAlignment w:val="baseline"/>
    </w:pPr>
    <w:rPr>
      <w:rFonts w:ascii="Times New Roman" w:eastAsia="SimSun;宋体" w:hAnsi="Times New Roman" w:cs="Mangal"/>
      <w:color w:val="00000A"/>
      <w:kern w:val="2"/>
      <w:sz w:val="24"/>
    </w:rPr>
  </w:style>
  <w:style w:type="paragraph" w:customStyle="1" w:styleId="WW-Caption">
    <w:name w:val="WW-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10"/>
    <w:uiPriority w:val="11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qFormat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qFormat/>
    <w:pPr>
      <w:suppressAutoHyphens w:val="0"/>
      <w:spacing w:after="120" w:line="480" w:lineRule="auto"/>
    </w:pPr>
    <w:rPr>
      <w:color w:val="000000"/>
    </w:rPr>
  </w:style>
  <w:style w:type="paragraph" w:customStyle="1" w:styleId="Corpodetexto39">
    <w:name w:val="Corpo de texto 39"/>
    <w:basedOn w:val="Normal"/>
    <w:qFormat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qFormat/>
    <w:pPr>
      <w:suppressAutoHyphens w:val="0"/>
      <w:spacing w:after="120" w:line="480" w:lineRule="auto"/>
    </w:pPr>
    <w:rPr>
      <w:color w:val="000000"/>
    </w:rPr>
  </w:style>
  <w:style w:type="paragraph" w:customStyle="1" w:styleId="paragraphscx168548192">
    <w:name w:val="paragraph scx168548192"/>
    <w:basedOn w:val="Normal"/>
    <w:qFormat/>
    <w:pPr>
      <w:spacing w:before="280" w:after="280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Lucida Sans Unicode" w:hAnsi="Times New Roman" w:cs="Mangal;Gentium Basic"/>
      <w:color w:val="00000A"/>
      <w:kern w:val="2"/>
      <w:sz w:val="24"/>
    </w:rPr>
  </w:style>
  <w:style w:type="paragraph" w:styleId="Textodenotaderodap">
    <w:name w:val="footnote text"/>
    <w:basedOn w:val="Normal"/>
    <w:link w:val="TextodenotaderodapChar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eastAsia="pt-BR"/>
    </w:rPr>
  </w:style>
  <w:style w:type="paragraph" w:styleId="PargrafodaLista">
    <w:name w:val="List Paragraph"/>
    <w:basedOn w:val="Normal"/>
    <w:qFormat/>
    <w:pPr>
      <w:ind w:left="104" w:right="196" w:firstLine="1700"/>
      <w:jc w:val="both"/>
    </w:pPr>
    <w:rPr>
      <w:rFonts w:eastAsia="Times New Roman" w:cs="Times New Roman"/>
      <w:lang w:eastAsia="pt-BR" w:bidi="pt-BR"/>
    </w:rPr>
  </w:style>
  <w:style w:type="paragraph" w:styleId="Recuodecorpodetexto">
    <w:name w:val="Body Text Indent"/>
    <w:basedOn w:val="Corpodetexto"/>
    <w:pPr>
      <w:widowControl/>
      <w:spacing w:after="120" w:line="276" w:lineRule="auto"/>
      <w:ind w:left="283"/>
    </w:pPr>
    <w:rPr>
      <w:rFonts w:eastAsia="Wingdings" w:cs="Symbo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basedOn w:val="Fontepargpadro"/>
    <w:uiPriority w:val="99"/>
    <w:unhideWhenUsed/>
    <w:rsid w:val="002622D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622DA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5F1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55F12"/>
    <w:rPr>
      <w:rFonts w:ascii="TimesNewRomanPSMT" w:hAnsi="TimesNewRomanPSMT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Fontepargpadro"/>
    <w:rsid w:val="00355F12"/>
    <w:rPr>
      <w:rFonts w:ascii="TimesNewRomanPS-BoldMT" w:hAnsi="TimesNewRomanPS-BoldMT" w:hint="default"/>
      <w:b/>
      <w:bCs/>
      <w:i w:val="0"/>
      <w:iCs w:val="0"/>
      <w:color w:val="00000A"/>
      <w:sz w:val="24"/>
      <w:szCs w:val="24"/>
    </w:rPr>
  </w:style>
  <w:style w:type="character" w:customStyle="1" w:styleId="fontstyle31">
    <w:name w:val="fontstyle31"/>
    <w:basedOn w:val="Fontepargpadro"/>
    <w:rsid w:val="00355F1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6406FF"/>
    <w:rPr>
      <w:vertAlign w:val="superscript"/>
    </w:rPr>
  </w:style>
  <w:style w:type="character" w:customStyle="1" w:styleId="normaltextrun">
    <w:name w:val="normaltextrun"/>
    <w:basedOn w:val="Fontepargpadro"/>
    <w:rsid w:val="007B6229"/>
  </w:style>
  <w:style w:type="character" w:customStyle="1" w:styleId="eop">
    <w:name w:val="eop"/>
    <w:basedOn w:val="Fontepargpadro"/>
    <w:rsid w:val="007B6229"/>
  </w:style>
  <w:style w:type="character" w:customStyle="1" w:styleId="TextodenotaderodapChar">
    <w:name w:val="Texto de nota de rodapé Char"/>
    <w:basedOn w:val="Fontepargpadro"/>
    <w:link w:val="Textodenotaderodap"/>
    <w:rsid w:val="009605B4"/>
    <w:rPr>
      <w:rFonts w:ascii="Times New Roman" w:eastAsia="SimSun;宋体" w:hAnsi="Times New Roman" w:cs="Mangal"/>
      <w:color w:val="00000A"/>
      <w:kern w:val="2"/>
      <w:szCs w:val="20"/>
    </w:rPr>
  </w:style>
  <w:style w:type="paragraph" w:customStyle="1" w:styleId="LO-Normal1">
    <w:name w:val="LO-Normal1"/>
    <w:rsid w:val="005F01EA"/>
    <w:pPr>
      <w:suppressAutoHyphens/>
      <w:autoSpaceDN w:val="0"/>
      <w:spacing w:line="100" w:lineRule="atLeast"/>
    </w:pPr>
    <w:rPr>
      <w:rFonts w:ascii="Times New Roman" w:eastAsia="Wingdings" w:hAnsi="Times New Roman" w:cs="Symbol"/>
      <w:color w:val="00000A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ianca.mppr.mp.br/arquivos/File/legis/covid19/nota_tecnica_conjunta_ces_cnmp_n01_2020_covid19_26022020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ara.gov.br/decretos-do-governo-do-ceara-com-acoes-contra-o-coronaviru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dicadores.integrasus.saude.ce.gov.br/indicadores/indicadores-coronavirus/nivel-alert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0D32965EEAB848AE43329354570C1C" ma:contentTypeVersion="12" ma:contentTypeDescription="Crie um novo documento." ma:contentTypeScope="" ma:versionID="63c416e38cc975fcc48c3ace4a495648">
  <xsd:schema xmlns:xsd="http://www.w3.org/2001/XMLSchema" xmlns:xs="http://www.w3.org/2001/XMLSchema" xmlns:p="http://schemas.microsoft.com/office/2006/metadata/properties" xmlns:ns2="dba3d9cc-d624-4c19-b9d3-31abbff8def6" xmlns:ns3="966ccc71-f685-4bc4-a5b2-61a4b2793280" targetNamespace="http://schemas.microsoft.com/office/2006/metadata/properties" ma:root="true" ma:fieldsID="236a7a46b44a5149370f9fd8377bd14a" ns2:_="" ns3:_="">
    <xsd:import namespace="dba3d9cc-d624-4c19-b9d3-31abbff8def6"/>
    <xsd:import namespace="966ccc71-f685-4bc4-a5b2-61a4b2793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3d9cc-d624-4c19-b9d3-31abbff8d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ccc71-f685-4bc4-a5b2-61a4b2793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1FD3E-ABEA-492D-8214-633D9F257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9FC3E-065E-4CB8-8B3D-314429E26E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A8CE9D-06D4-4584-A935-92E5B192C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654CCF-7EB3-4D22-A13B-3A53A60B6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3d9cc-d624-4c19-b9d3-31abbff8def6"/>
    <ds:schemaRef ds:uri="966ccc71-f685-4bc4-a5b2-61a4b2793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1480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dc:description/>
  <cp:lastModifiedBy>Nairim Tatiane Lima Chaves</cp:lastModifiedBy>
  <cp:revision>8</cp:revision>
  <cp:lastPrinted>2017-04-07T12:40:00Z</cp:lastPrinted>
  <dcterms:created xsi:type="dcterms:W3CDTF">2021-03-12T14:34:00Z</dcterms:created>
  <dcterms:modified xsi:type="dcterms:W3CDTF">2021-03-15T15:01:00Z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0x010100070D32965EEAB848AE43329354570C1C</vt:lpwstr>
  </property>
  <property fmtid="{D5CDD505-2E9C-101B-9397-08002B2CF9AE}" pid="4" name="LinksUpToDate">
    <vt:bool>false</vt:bool>
  </property>
  <property fmtid="{D5CDD505-2E9C-101B-9397-08002B2CF9AE}" pid="5" name="Order">
    <vt:lpwstr>1810400.00000000</vt:lpwstr>
  </property>
  <property fmtid="{D5CDD505-2E9C-101B-9397-08002B2CF9AE}" pid="6" name="display_urn:schemas-microsoft-com:office:office#Author">
    <vt:lpwstr>Roberto Bruno Pereira Silva</vt:lpwstr>
  </property>
  <property fmtid="{D5CDD505-2E9C-101B-9397-08002B2CF9AE}" pid="7" name="display_urn:schemas-microsoft-com:office:office#Editor">
    <vt:lpwstr>Roberto Bruno Pereira Silva</vt:lpwstr>
  </property>
</Properties>
</file>