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28" w:after="28"/>
        <w:jc w:val="center"/>
        <w:rPr>
          <w:rFonts w:ascii="Adobe Jenson Pro Subh" w:hAnsi="Adobe Jenson Pro Subh" w:cs="Arial"/>
          <w:b/>
          <w:b/>
          <w:bCs/>
          <w:sz w:val="16"/>
          <w:szCs w:val="16"/>
        </w:rPr>
      </w:pPr>
      <w:r>
        <w:rPr>
          <w:rFonts w:cs="Arial" w:ascii="Adobe Jenson Pro Subh" w:hAnsi="Adobe Jenson Pro Subh"/>
          <w:b/>
          <w:bCs/>
          <w:sz w:val="16"/>
          <w:szCs w:val="16"/>
        </w:rPr>
      </w:r>
    </w:p>
    <w:p>
      <w:pPr>
        <w:pStyle w:val="NormalWeb"/>
        <w:shd w:val="clear" w:color="auto" w:fill="FFFFFF"/>
        <w:spacing w:before="28" w:after="28"/>
        <w:jc w:val="center"/>
        <w:rPr/>
      </w:pPr>
      <w:bookmarkStart w:id="0" w:name="_GoBack"/>
      <w:bookmarkEnd w:id="0"/>
      <w:r>
        <w:rPr>
          <w:rFonts w:cs="Arial" w:ascii="Adobe Jenson Pro Subh" w:hAnsi="Adobe Jenson Pro Subh"/>
          <w:b/>
          <w:bCs/>
          <w:sz w:val="16"/>
          <w:szCs w:val="16"/>
        </w:rPr>
        <w:t>MODELO DE RECOMENDAÇÃO- PRESTAÇÃO DE CONTAS DE PARTIDOS POLÍTICOS</w:t>
      </w:r>
    </w:p>
    <w:p>
      <w:pPr>
        <w:pStyle w:val="NormalWeb"/>
        <w:shd w:val="clear" w:color="auto" w:fill="FFFFFF"/>
        <w:spacing w:lineRule="auto" w:line="360"/>
        <w:jc w:val="both"/>
        <w:rPr/>
      </w:pPr>
      <w:r>
        <w:rPr/>
      </w:r>
    </w:p>
    <w:p>
      <w:pPr>
        <w:pStyle w:val="NormalWeb"/>
        <w:shd w:val="clear" w:color="auto" w:fill="FFFFFF"/>
        <w:spacing w:lineRule="auto" w:line="360"/>
        <w:jc w:val="both"/>
        <w:rPr/>
      </w:pPr>
      <w:r>
        <w:rPr>
          <w:rFonts w:cs="Arial" w:ascii="Adobe Jenson Pro Subh" w:hAnsi="Adobe Jenson Pro Subh"/>
          <w:b/>
          <w:bCs/>
        </w:rPr>
        <w:t>Considerando</w:t>
      </w:r>
      <w:r>
        <w:rPr>
          <w:rFonts w:cs="Arial" w:ascii="Adobe Jenson Pro Subh" w:hAnsi="Adobe Jenson Pro Subh"/>
          <w:bCs/>
        </w:rPr>
        <w:t xml:space="preserve"> que a Constituição Federal garante a liberdade partidária, </w:t>
      </w:r>
      <w:r>
        <w:rPr>
          <w:rFonts w:cs="Arial" w:ascii="Adobe Jenson Pro Subh" w:hAnsi="Adobe Jenson Pro Subh"/>
          <w:color w:val="000000"/>
        </w:rPr>
        <w:t xml:space="preserve">resguardados a soberania nacional, o regime democrático, o pluripartidarismo, os direitos humanos fundamentais, </w:t>
      </w:r>
      <w:r>
        <w:rPr>
          <w:rFonts w:cs="Arial" w:ascii="Adobe Jenson Pro Subh" w:hAnsi="Adobe Jenson Pro Subh"/>
          <w:b/>
          <w:color w:val="000000"/>
        </w:rPr>
        <w:t xml:space="preserve">impondo-se à agremiação o dever de prestar contas </w:t>
      </w:r>
      <w:r>
        <w:rPr>
          <w:rFonts w:cs="Arial" w:ascii="Adobe Jenson Pro Subh" w:hAnsi="Adobe Jenson Pro Subh"/>
          <w:color w:val="000000"/>
        </w:rPr>
        <w:t>(art. 17, inciso III da CF);</w:t>
      </w:r>
    </w:p>
    <w:p>
      <w:pPr>
        <w:pStyle w:val="NormalWeb"/>
        <w:shd w:val="clear" w:color="auto" w:fill="FFFFFF"/>
        <w:spacing w:lineRule="auto" w:line="360"/>
        <w:jc w:val="both"/>
        <w:rPr/>
      </w:pPr>
      <w:r>
        <w:rPr/>
      </w:r>
    </w:p>
    <w:p>
      <w:pPr>
        <w:pStyle w:val="Notaderodap"/>
        <w:spacing w:lineRule="auto" w:line="360"/>
        <w:jc w:val="both"/>
        <w:rPr/>
      </w:pPr>
      <w:r>
        <w:rPr>
          <w:rFonts w:cs="Arial" w:ascii="Adobe Jenson Pro Subh" w:hAnsi="Adobe Jenson Pro Subh"/>
          <w:b/>
          <w:color w:val="000000"/>
          <w:sz w:val="24"/>
          <w:szCs w:val="24"/>
          <w:shd w:fill="FFFFFF" w:val="clear"/>
        </w:rPr>
        <w:t>Considerando</w:t>
      </w:r>
      <w:r>
        <w:rPr>
          <w:rFonts w:cs="Arial" w:ascii="Adobe Jenson Pro Subh" w:hAnsi="Adobe Jenson Pro Subh"/>
          <w:color w:val="000000"/>
          <w:sz w:val="24"/>
          <w:szCs w:val="24"/>
          <w:shd w:fill="FFFFFF" w:val="clear"/>
        </w:rPr>
        <w:t xml:space="preserve"> que a Lei dos Partidos Políticos determina que o partido político, através de seus órgãos nacionais, regionais </w:t>
      </w:r>
      <w:r>
        <w:rPr>
          <w:rFonts w:cs="Arial" w:ascii="Adobe Jenson Pro Subh" w:hAnsi="Adobe Jenson Pro Subh"/>
          <w:b/>
          <w:color w:val="000000"/>
          <w:sz w:val="24"/>
          <w:szCs w:val="24"/>
          <w:shd w:fill="FFFFFF" w:val="clear"/>
        </w:rPr>
        <w:t>e municipais</w:t>
      </w:r>
      <w:r>
        <w:rPr>
          <w:rFonts w:cs="Arial" w:ascii="Adobe Jenson Pro Subh" w:hAnsi="Adobe Jenson Pro Subh"/>
          <w:color w:val="000000"/>
          <w:sz w:val="24"/>
          <w:szCs w:val="24"/>
          <w:shd w:fill="FFFFFF" w:val="clear"/>
        </w:rPr>
        <w:t xml:space="preserve">, deve manter escrituração contábil, </w:t>
      </w:r>
      <w:r>
        <w:rPr>
          <w:rFonts w:cs="Arial" w:ascii="Adobe Jenson Pro Subh" w:hAnsi="Adobe Jenson Pro Subh"/>
          <w:b/>
          <w:color w:val="000000"/>
          <w:sz w:val="24"/>
          <w:szCs w:val="24"/>
          <w:shd w:fill="FFFFFF" w:val="clear"/>
        </w:rPr>
        <w:t xml:space="preserve">de forma a permitir o conhecimento da origem de suas receitas e a destinação de suas despesas - princípio da transparência </w:t>
      </w:r>
      <w:r>
        <w:rPr>
          <w:rFonts w:cs="Arial" w:ascii="Adobe Jenson Pro Subh" w:hAnsi="Adobe Jenson Pro Subh"/>
          <w:color w:val="000000"/>
          <w:sz w:val="24"/>
          <w:szCs w:val="24"/>
          <w:shd w:fill="FFFFFF" w:val="clear"/>
        </w:rPr>
        <w:t xml:space="preserve">(art. 30, </w:t>
      </w:r>
      <w:r>
        <w:rPr>
          <w:rFonts w:cs="Arial" w:ascii="Adobe Jenson Pro Subh" w:hAnsi="Adobe Jenson Pro Subh"/>
          <w:i/>
          <w:iCs/>
          <w:color w:val="000000"/>
          <w:sz w:val="24"/>
          <w:szCs w:val="24"/>
          <w:shd w:fill="FFFFFF" w:val="clear"/>
        </w:rPr>
        <w:t>caput</w:t>
      </w:r>
      <w:r>
        <w:rPr>
          <w:rFonts w:cs="Arial" w:ascii="Adobe Jenson Pro Subh" w:hAnsi="Adobe Jenson Pro Subh"/>
          <w:color w:val="000000"/>
          <w:sz w:val="24"/>
          <w:szCs w:val="24"/>
          <w:shd w:fill="FFFFFF" w:val="clear"/>
        </w:rPr>
        <w:t>, da Lei n.º 9.096/1995);</w:t>
      </w:r>
    </w:p>
    <w:p>
      <w:pPr>
        <w:pStyle w:val="Notaderodap"/>
        <w:spacing w:lineRule="auto" w:line="360"/>
        <w:rPr/>
      </w:pPr>
      <w:r>
        <w:rPr/>
      </w:r>
    </w:p>
    <w:p>
      <w:pPr>
        <w:pStyle w:val="Notaderodap"/>
        <w:spacing w:lineRule="auto" w:line="360"/>
        <w:jc w:val="both"/>
        <w:rPr/>
      </w:pPr>
      <w:r>
        <w:rPr>
          <w:rFonts w:cs="Arial" w:ascii="Adobe Jenson Pro Subh" w:hAnsi="Adobe Jenson Pro Subh"/>
          <w:b/>
          <w:color w:val="000000"/>
          <w:sz w:val="24"/>
          <w:szCs w:val="24"/>
          <w:shd w:fill="FFFFFF" w:val="clear"/>
        </w:rPr>
        <w:t>Considerando</w:t>
      </w:r>
      <w:r>
        <w:rPr>
          <w:rFonts w:cs="Arial" w:ascii="Adobe Jenson Pro Subh" w:hAnsi="Adobe Jenson Pro Subh"/>
          <w:color w:val="000000"/>
          <w:sz w:val="24"/>
          <w:szCs w:val="24"/>
          <w:shd w:fill="FFFFFF" w:val="clear"/>
        </w:rPr>
        <w:t xml:space="preserve"> que a Lei dos Partidos Políticos </w:t>
      </w:r>
      <w:r>
        <w:rPr>
          <w:rFonts w:cs="Arial" w:ascii="Adobe Jenson Pro Subh" w:hAnsi="Adobe Jenson Pro Subh"/>
          <w:b/>
          <w:color w:val="000000"/>
          <w:sz w:val="24"/>
          <w:szCs w:val="24"/>
          <w:shd w:fill="FFFFFF" w:val="clear"/>
        </w:rPr>
        <w:t>obriga</w:t>
      </w:r>
      <w:r>
        <w:rPr>
          <w:rFonts w:cs="Arial" w:ascii="Adobe Jenson Pro Subh" w:hAnsi="Adobe Jenson Pro Subh"/>
          <w:color w:val="000000"/>
          <w:sz w:val="24"/>
          <w:szCs w:val="24"/>
          <w:shd w:fill="FFFFFF" w:val="clear"/>
        </w:rPr>
        <w:t xml:space="preserve"> o partido político a enviar à Justiça Eleitoral, anualmente, o balanço contábil do exercício findo</w:t>
      </w:r>
      <w:r>
        <w:rPr>
          <w:rFonts w:cs="Arial" w:ascii="Adobe Jenson Pro Subh" w:hAnsi="Adobe Jenson Pro Subh"/>
          <w:b/>
          <w:color w:val="000000"/>
          <w:sz w:val="24"/>
          <w:szCs w:val="24"/>
          <w:shd w:fill="FFFFFF" w:val="clear"/>
        </w:rPr>
        <w:t>, até o dia 30 de abril do ano seguinte</w:t>
      </w:r>
      <w:r>
        <w:rPr>
          <w:rFonts w:cs="Arial" w:ascii="Adobe Jenson Pro Subh" w:hAnsi="Adobe Jenson Pro Subh"/>
          <w:color w:val="000000"/>
          <w:sz w:val="24"/>
          <w:szCs w:val="24"/>
          <w:shd w:fill="FFFFFF" w:val="clear"/>
        </w:rPr>
        <w:t xml:space="preserve"> (art. 32 da Lei n.º 9.096/1995);</w:t>
      </w:r>
    </w:p>
    <w:p>
      <w:pPr>
        <w:pStyle w:val="Notaderodap"/>
        <w:spacing w:lineRule="auto" w:line="360"/>
        <w:jc w:val="both"/>
        <w:rPr/>
      </w:pPr>
      <w:r>
        <w:rPr/>
      </w:r>
    </w:p>
    <w:p>
      <w:pPr>
        <w:pStyle w:val="Notaderodap"/>
        <w:spacing w:lineRule="auto" w:line="360"/>
        <w:jc w:val="both"/>
        <w:rPr/>
      </w:pPr>
      <w:r>
        <w:rPr>
          <w:rFonts w:cs="Arial" w:ascii="Adobe Jenson Pro Subh" w:hAnsi="Adobe Jenson Pro Subh"/>
          <w:b/>
          <w:color w:val="000000"/>
          <w:sz w:val="24"/>
          <w:szCs w:val="24"/>
          <w:shd w:fill="FFFFFF" w:val="clear"/>
        </w:rPr>
        <w:t xml:space="preserve">Considerando </w:t>
      </w:r>
      <w:r>
        <w:rPr>
          <w:rFonts w:cs="Arial" w:ascii="Adobe Jenson Pro Subh" w:hAnsi="Adobe Jenson Pro Subh"/>
          <w:color w:val="000000"/>
          <w:sz w:val="24"/>
          <w:szCs w:val="24"/>
          <w:shd w:fill="FFFFFF" w:val="clear"/>
        </w:rPr>
        <w:t xml:space="preserve">que idêntica obrigação está prevista no artigo 4º, incisos IV e V, alíneas </w:t>
      </w:r>
      <w:r>
        <w:rPr>
          <w:rFonts w:cs="Arial" w:ascii="Adobe Jenson Pro Subh" w:hAnsi="Adobe Jenson Pro Subh"/>
          <w:i/>
          <w:iCs/>
          <w:color w:val="000000"/>
          <w:sz w:val="24"/>
          <w:szCs w:val="24"/>
          <w:shd w:fill="FFFFFF" w:val="clear"/>
        </w:rPr>
        <w:t xml:space="preserve">a </w:t>
      </w:r>
      <w:r>
        <w:rPr>
          <w:rFonts w:cs="Arial" w:ascii="Adobe Jenson Pro Subh" w:hAnsi="Adobe Jenson Pro Subh"/>
          <w:color w:val="000000"/>
          <w:sz w:val="24"/>
          <w:szCs w:val="24"/>
          <w:shd w:fill="FFFFFF" w:val="clear"/>
        </w:rPr>
        <w:t xml:space="preserve">e </w:t>
      </w:r>
      <w:r>
        <w:rPr>
          <w:rFonts w:cs="Arial" w:ascii="Adobe Jenson Pro Subh" w:hAnsi="Adobe Jenson Pro Subh"/>
          <w:i/>
          <w:iCs/>
          <w:color w:val="000000"/>
          <w:sz w:val="24"/>
          <w:szCs w:val="24"/>
          <w:shd w:fill="FFFFFF" w:val="clear"/>
        </w:rPr>
        <w:t>b,</w:t>
      </w:r>
      <w:r>
        <w:rPr>
          <w:rFonts w:cs="Arial" w:ascii="Adobe Jenson Pro Subh" w:hAnsi="Adobe Jenson Pro Subh"/>
          <w:color w:val="000000"/>
          <w:sz w:val="24"/>
          <w:szCs w:val="24"/>
          <w:shd w:fill="FFFFFF" w:val="clear"/>
        </w:rPr>
        <w:t xml:space="preserve"> da </w:t>
      </w:r>
      <w:r>
        <w:rPr>
          <w:rFonts w:cs="Arial" w:ascii="Adobe Jenson Pro Subh" w:hAnsi="Adobe Jenson Pro Subh"/>
          <w:bCs/>
          <w:color w:val="000000"/>
          <w:sz w:val="24"/>
          <w:szCs w:val="24"/>
          <w:shd w:fill="FFFFFF" w:val="clear"/>
        </w:rPr>
        <w:t>Res.- TSE n. º 23.546/2017;</w:t>
      </w:r>
    </w:p>
    <w:p>
      <w:pPr>
        <w:pStyle w:val="Notaderodap"/>
        <w:spacing w:lineRule="auto" w:line="360"/>
        <w:rPr/>
      </w:pPr>
      <w:r>
        <w:rPr/>
      </w:r>
    </w:p>
    <w:p>
      <w:pPr>
        <w:pStyle w:val="Padro"/>
        <w:spacing w:lineRule="auto" w:line="360" w:before="0" w:after="0"/>
        <w:jc w:val="both"/>
        <w:rPr/>
      </w:pPr>
      <w:r>
        <w:rPr>
          <w:rFonts w:eastAsia="Times New Roman" w:cs="Arial" w:ascii="Adobe Jenson Pro Subh" w:hAnsi="Adobe Jenson Pro Subh"/>
          <w:b/>
          <w:color w:val="000000"/>
          <w:sz w:val="24"/>
          <w:szCs w:val="24"/>
          <w:lang w:eastAsia="pt-BR"/>
        </w:rPr>
        <w:t>Considerando</w:t>
      </w:r>
      <w:r>
        <w:rPr>
          <w:rFonts w:eastAsia="Times New Roman" w:cs="Arial" w:ascii="Adobe Jenson Pro Subh" w:hAnsi="Adobe Jenson Pro Subh"/>
          <w:color w:val="000000"/>
          <w:sz w:val="24"/>
          <w:szCs w:val="24"/>
          <w:lang w:eastAsia="pt-BR"/>
        </w:rPr>
        <w:t xml:space="preserve"> a determinação de </w:t>
      </w:r>
      <w:r>
        <w:rPr>
          <w:rFonts w:cs="Arial" w:ascii="Adobe Jenson Pro Subh" w:hAnsi="Adobe Jenson Pro Subh"/>
          <w:bCs/>
          <w:color w:val="000000"/>
          <w:sz w:val="24"/>
          <w:szCs w:val="24"/>
          <w:shd w:fill="FFFFFF" w:val="clear"/>
        </w:rPr>
        <w:t xml:space="preserve">que as contas de </w:t>
      </w:r>
      <w:r>
        <w:rPr>
          <w:rFonts w:cs="Arial" w:ascii="Adobe Jenson Pro Subh" w:hAnsi="Adobe Jenson Pro Subh"/>
          <w:b/>
          <w:bCs/>
          <w:color w:val="000000"/>
          <w:sz w:val="24"/>
          <w:szCs w:val="24"/>
          <w:shd w:fill="FFFFFF" w:val="clear"/>
        </w:rPr>
        <w:t>órgão municipal</w:t>
      </w:r>
      <w:r>
        <w:rPr>
          <w:rFonts w:cs="Arial" w:ascii="Adobe Jenson Pro Subh" w:hAnsi="Adobe Jenson Pro Subh"/>
          <w:bCs/>
          <w:color w:val="000000"/>
          <w:sz w:val="24"/>
          <w:szCs w:val="24"/>
          <w:shd w:fill="FFFFFF" w:val="clear"/>
        </w:rPr>
        <w:t xml:space="preserve"> ou zonal são prestadas no juízo eleitoral competente </w:t>
      </w:r>
      <w:r>
        <w:rPr>
          <w:rFonts w:eastAsia="Times New Roman" w:cs="Arial" w:ascii="Adobe Jenson Pro Subh" w:hAnsi="Adobe Jenson Pro Subh"/>
          <w:color w:val="000000"/>
          <w:sz w:val="24"/>
          <w:szCs w:val="24"/>
          <w:lang w:eastAsia="pt-BR"/>
        </w:rPr>
        <w:t xml:space="preserve">anualmente </w:t>
      </w:r>
      <w:r>
        <w:rPr>
          <w:rFonts w:eastAsia="Times New Roman" w:cs="Arial" w:ascii="Adobe Jenson Pro Subh" w:hAnsi="Adobe Jenson Pro Subh"/>
          <w:b/>
          <w:color w:val="000000"/>
          <w:sz w:val="24"/>
          <w:szCs w:val="24"/>
          <w:lang w:eastAsia="pt-BR"/>
        </w:rPr>
        <w:t>até 30 de abril do ano subsequente</w:t>
      </w:r>
      <w:r>
        <w:rPr>
          <w:rFonts w:eastAsia="Times New Roman" w:cs="Arial" w:ascii="Adobe Jenson Pro Subh" w:hAnsi="Adobe Jenson Pro Subh"/>
          <w:color w:val="000000"/>
          <w:sz w:val="24"/>
          <w:szCs w:val="24"/>
          <w:lang w:eastAsia="pt-BR"/>
        </w:rPr>
        <w:t xml:space="preserve"> </w:t>
      </w:r>
      <w:r>
        <w:rPr>
          <w:rFonts w:cs="Arial" w:ascii="Adobe Jenson Pro Subh" w:hAnsi="Adobe Jenson Pro Subh"/>
          <w:color w:val="000000"/>
          <w:sz w:val="24"/>
          <w:szCs w:val="24"/>
        </w:rPr>
        <w:t>(</w:t>
      </w:r>
      <w:r>
        <w:rPr>
          <w:rFonts w:cs="Arial" w:ascii="Adobe Jenson Pro Subh" w:hAnsi="Adobe Jenson Pro Subh"/>
          <w:bCs/>
          <w:color w:val="000000"/>
          <w:sz w:val="24"/>
          <w:szCs w:val="24"/>
          <w:shd w:fill="FFFFFF" w:val="clear"/>
        </w:rPr>
        <w:t>artigo 28, inciso I, da Res.-TSE n.º 23.546/2017);</w:t>
      </w:r>
    </w:p>
    <w:p>
      <w:pPr>
        <w:pStyle w:val="Padro"/>
        <w:spacing w:lineRule="auto" w:line="360" w:before="0" w:after="0"/>
        <w:jc w:val="both"/>
        <w:rPr/>
      </w:pPr>
      <w:r>
        <w:rPr/>
      </w:r>
    </w:p>
    <w:p>
      <w:pPr>
        <w:pStyle w:val="Padro"/>
        <w:spacing w:lineRule="auto" w:line="360" w:before="0" w:after="0"/>
        <w:jc w:val="both"/>
        <w:rPr/>
      </w:pPr>
      <w:r>
        <w:rPr>
          <w:rFonts w:eastAsia="Times New Roman" w:cs="Arial" w:ascii="Adobe Jenson Pro Subh" w:hAnsi="Adobe Jenson Pro Subh"/>
          <w:b/>
          <w:color w:val="000000"/>
          <w:sz w:val="24"/>
          <w:szCs w:val="24"/>
          <w:lang w:eastAsia="pt-BR"/>
        </w:rPr>
        <w:t>Considerando</w:t>
      </w:r>
      <w:r>
        <w:rPr>
          <w:rFonts w:eastAsia="Times New Roman" w:cs="Arial" w:ascii="Adobe Jenson Pro Subh" w:hAnsi="Adobe Jenson Pro Subh"/>
          <w:color w:val="000000"/>
          <w:sz w:val="24"/>
          <w:szCs w:val="24"/>
          <w:lang w:eastAsia="pt-BR"/>
        </w:rPr>
        <w:t xml:space="preserve"> que a</w:t>
      </w:r>
      <w:r>
        <w:rPr>
          <w:rFonts w:cs="Arial" w:ascii="Adobe Jenson Pro Subh" w:hAnsi="Adobe Jenson Pro Subh"/>
          <w:color w:val="000000"/>
          <w:sz w:val="24"/>
          <w:szCs w:val="24"/>
        </w:rPr>
        <w:t xml:space="preserve"> prestação de contas </w:t>
      </w:r>
      <w:r>
        <w:rPr>
          <w:rFonts w:cs="Arial" w:ascii="Adobe Jenson Pro Subh" w:hAnsi="Adobe Jenson Pro Subh"/>
          <w:b/>
          <w:color w:val="000000"/>
          <w:sz w:val="24"/>
          <w:szCs w:val="24"/>
        </w:rPr>
        <w:t>é obrigatória mesmo que não haja o recebimento de recursos financeiros ou estimáveis em dinheiro</w:t>
      </w:r>
      <w:r>
        <w:rPr>
          <w:rFonts w:cs="Arial" w:ascii="Adobe Jenson Pro Subh" w:hAnsi="Adobe Jenson Pro Subh"/>
          <w:color w:val="000000"/>
          <w:sz w:val="24"/>
          <w:szCs w:val="24"/>
        </w:rPr>
        <w:t>, devendo o partido apresentar sua posição patrimonial e financeira apurada no exercício (</w:t>
      </w:r>
      <w:r>
        <w:rPr>
          <w:rFonts w:cs="Arial" w:ascii="Adobe Jenson Pro Subh" w:hAnsi="Adobe Jenson Pro Subh"/>
          <w:bCs/>
          <w:color w:val="000000"/>
          <w:sz w:val="24"/>
          <w:szCs w:val="24"/>
          <w:shd w:fill="FFFFFF" w:val="clear"/>
        </w:rPr>
        <w:t>artigo 28, § 3º, da Res.-TSE n.º 23.546/2017)</w:t>
      </w:r>
      <w:r>
        <w:rPr>
          <w:rFonts w:cs="Arial" w:ascii="Adobe Jenson Pro Subh" w:hAnsi="Adobe Jenson Pro Subh"/>
          <w:color w:val="000000"/>
          <w:sz w:val="24"/>
          <w:szCs w:val="24"/>
        </w:rPr>
        <w:t>.</w:t>
      </w:r>
    </w:p>
    <w:p>
      <w:pPr>
        <w:pStyle w:val="Padro"/>
        <w:spacing w:lineRule="auto" w:line="360" w:before="0" w:after="0"/>
        <w:jc w:val="both"/>
        <w:rPr/>
      </w:pPr>
      <w:r>
        <w:rPr/>
      </w:r>
    </w:p>
    <w:p>
      <w:pPr>
        <w:pStyle w:val="Padro"/>
        <w:spacing w:lineRule="auto" w:line="360" w:before="0" w:after="0"/>
        <w:jc w:val="both"/>
        <w:rPr>
          <w:rFonts w:ascii="Adobe Jenson Pro Subh" w:hAnsi="Adobe Jenson Pro Subh" w:cs="Arial"/>
          <w:b/>
          <w:b/>
          <w:color w:val="000000"/>
          <w:sz w:val="24"/>
          <w:szCs w:val="24"/>
        </w:rPr>
      </w:pPr>
      <w:r>
        <w:rPr>
          <w:rFonts w:cs="Arial" w:ascii="Adobe Jenson Pro Subh" w:hAnsi="Adobe Jenson Pro Subh"/>
          <w:b/>
          <w:color w:val="000000"/>
          <w:sz w:val="24"/>
          <w:szCs w:val="24"/>
        </w:rPr>
      </w:r>
    </w:p>
    <w:p>
      <w:pPr>
        <w:pStyle w:val="Padro"/>
        <w:spacing w:lineRule="auto" w:line="360" w:before="0" w:after="0"/>
        <w:jc w:val="both"/>
        <w:rPr>
          <w:rFonts w:ascii="Adobe Jenson Pro Subh" w:hAnsi="Adobe Jenson Pro Subh" w:cs="Arial"/>
          <w:b/>
          <w:b/>
          <w:color w:val="000000"/>
          <w:sz w:val="24"/>
          <w:szCs w:val="24"/>
        </w:rPr>
      </w:pPr>
      <w:r>
        <w:rPr>
          <w:rFonts w:cs="Arial" w:ascii="Adobe Jenson Pro Subh" w:hAnsi="Adobe Jenson Pro Subh"/>
          <w:b/>
          <w:color w:val="000000"/>
          <w:sz w:val="24"/>
          <w:szCs w:val="24"/>
        </w:rPr>
      </w:r>
    </w:p>
    <w:p>
      <w:pPr>
        <w:pStyle w:val="Padro"/>
        <w:spacing w:lineRule="auto" w:line="360" w:before="0" w:after="0"/>
        <w:jc w:val="both"/>
        <w:rPr/>
      </w:pPr>
      <w:r>
        <w:rPr>
          <w:rFonts w:cs="Arial" w:ascii="Adobe Jenson Pro Subh" w:hAnsi="Adobe Jenson Pro Subh"/>
          <w:b/>
          <w:color w:val="000000"/>
          <w:sz w:val="24"/>
          <w:szCs w:val="24"/>
        </w:rPr>
        <w:t>Considerando</w:t>
      </w:r>
      <w:r>
        <w:rPr>
          <w:rFonts w:cs="Arial" w:ascii="Adobe Jenson Pro Subh" w:hAnsi="Adobe Jenson Pro Subh"/>
          <w:color w:val="000000"/>
          <w:sz w:val="24"/>
          <w:szCs w:val="24"/>
        </w:rPr>
        <w:t xml:space="preserve"> que </w:t>
      </w:r>
      <w:r>
        <w:rPr>
          <w:rFonts w:eastAsia="Times New Roman" w:cs="Arial" w:ascii="Adobe Jenson Pro Subh" w:hAnsi="Adobe Jenson Pro Subh"/>
          <w:color w:val="000000"/>
          <w:sz w:val="24"/>
          <w:szCs w:val="24"/>
          <w:lang w:eastAsia="pt-BR"/>
        </w:rPr>
        <w:t xml:space="preserve">a prestação de contas dos órgãos partidários municipais que não tenham movimentado recursos financeiros ou bens estimáveis em dinheiro deve ser realizada por meio da </w:t>
      </w:r>
      <w:r>
        <w:rPr>
          <w:rFonts w:eastAsia="Times New Roman" w:cs="Arial" w:ascii="Adobe Jenson Pro Subh" w:hAnsi="Adobe Jenson Pro Subh"/>
          <w:b/>
          <w:color w:val="000000"/>
          <w:sz w:val="24"/>
          <w:szCs w:val="24"/>
          <w:lang w:eastAsia="pt-BR"/>
        </w:rPr>
        <w:t xml:space="preserve">declaração de ausência de movimentação de recursos </w:t>
      </w:r>
      <w:r>
        <w:rPr>
          <w:rFonts w:eastAsia="Times New Roman" w:cs="Arial" w:ascii="Adobe Jenson Pro Subh" w:hAnsi="Adobe Jenson Pro Subh"/>
          <w:color w:val="000000"/>
          <w:sz w:val="24"/>
          <w:szCs w:val="24"/>
          <w:lang w:eastAsia="pt-BR"/>
        </w:rPr>
        <w:t>no período (</w:t>
      </w:r>
      <w:r>
        <w:rPr>
          <w:rFonts w:eastAsia="Times New Roman" w:cs="Arial" w:ascii="Adobe Jenson Pro Subh" w:hAnsi="Adobe Jenson Pro Subh"/>
          <w:bCs/>
          <w:color w:val="000000"/>
          <w:sz w:val="24"/>
          <w:szCs w:val="24"/>
          <w:shd w:fill="FFFFFF" w:val="clear"/>
          <w:lang w:eastAsia="pt-BR"/>
        </w:rPr>
        <w:t>artigo 28, § 3º, da Res.-TSE n.º 23.546/2017)</w:t>
      </w:r>
      <w:r>
        <w:rPr>
          <w:rFonts w:eastAsia="Times New Roman" w:cs="Arial" w:ascii="Adobe Jenson Pro Subh" w:hAnsi="Adobe Jenson Pro Subh"/>
          <w:color w:val="000000"/>
          <w:sz w:val="24"/>
          <w:szCs w:val="24"/>
          <w:lang w:eastAsia="pt-BR"/>
        </w:rPr>
        <w:t>;</w:t>
      </w:r>
    </w:p>
    <w:p>
      <w:pPr>
        <w:pStyle w:val="Padro"/>
        <w:spacing w:lineRule="auto" w:line="360" w:before="0" w:after="0"/>
        <w:jc w:val="both"/>
        <w:rPr/>
      </w:pPr>
      <w:r>
        <w:rPr/>
      </w:r>
    </w:p>
    <w:p>
      <w:pPr>
        <w:pStyle w:val="Padro"/>
        <w:spacing w:lineRule="auto" w:line="360" w:before="0" w:after="0"/>
        <w:jc w:val="both"/>
        <w:rPr/>
      </w:pPr>
      <w:r>
        <w:rPr>
          <w:rFonts w:eastAsia="Times New Roman" w:cs="Arial" w:ascii="Adobe Jenson Pro Subh" w:hAnsi="Adobe Jenson Pro Subh"/>
          <w:b/>
          <w:bCs/>
          <w:color w:val="000000"/>
          <w:sz w:val="24"/>
          <w:szCs w:val="24"/>
          <w:lang w:eastAsia="pt-BR"/>
        </w:rPr>
        <w:t xml:space="preserve">Considerando </w:t>
      </w:r>
      <w:r>
        <w:rPr>
          <w:rFonts w:eastAsia="Times New Roman" w:cs="Arial" w:ascii="Adobe Jenson Pro Subh" w:hAnsi="Adobe Jenson Pro Subh"/>
          <w:color w:val="000000"/>
          <w:sz w:val="24"/>
          <w:szCs w:val="24"/>
          <w:lang w:eastAsia="pt-BR"/>
        </w:rPr>
        <w:t>que a extinção ou dissolução de comissão provisória ou diretório partidário não exclui a obrigação de apresentação das contas relativas ao período de vigência da comissão ou diretório, hipótese em que a prestação de contas deve ser apresentada pela esfera partidária imediatamente superior ou por quem suceder a comissão ou diretório, com a identificação dos dirigentes partidários de acordo com o período de atuação (</w:t>
      </w:r>
      <w:r>
        <w:rPr>
          <w:rFonts w:eastAsia="Times New Roman" w:cs="Arial" w:ascii="Adobe Jenson Pro Subh" w:hAnsi="Adobe Jenson Pro Subh"/>
          <w:color w:val="000000"/>
          <w:sz w:val="24"/>
          <w:szCs w:val="24"/>
          <w:shd w:fill="FFFFFF" w:val="clear"/>
          <w:lang w:eastAsia="pt-BR"/>
        </w:rPr>
        <w:t>artigo 28, §§4º e 5º, da Res.-TSE n.º 23.546/2017);</w:t>
      </w:r>
    </w:p>
    <w:p>
      <w:pPr>
        <w:pStyle w:val="Corpodotexto"/>
        <w:spacing w:before="0" w:after="0"/>
        <w:rPr/>
      </w:pPr>
      <w:r>
        <w:rPr/>
      </w:r>
    </w:p>
    <w:p>
      <w:pPr>
        <w:pStyle w:val="Padro"/>
        <w:spacing w:lineRule="auto" w:line="360" w:before="0" w:after="0"/>
        <w:jc w:val="both"/>
        <w:rPr/>
      </w:pPr>
      <w:r>
        <w:rPr>
          <w:rFonts w:eastAsia="Times New Roman" w:cs="Arial" w:ascii="Adobe Jenson Pro Subh" w:hAnsi="Adobe Jenson Pro Subh"/>
          <w:b/>
          <w:bCs/>
          <w:color w:val="000000"/>
          <w:sz w:val="24"/>
          <w:szCs w:val="24"/>
          <w:lang w:eastAsia="pt-BR"/>
        </w:rPr>
        <w:t xml:space="preserve">Considerando </w:t>
      </w:r>
      <w:r>
        <w:rPr>
          <w:rFonts w:eastAsia="Times New Roman" w:cs="Arial" w:ascii="Adobe Jenson Pro Subh" w:hAnsi="Adobe Jenson Pro Subh"/>
          <w:bCs/>
          <w:color w:val="000000"/>
          <w:sz w:val="24"/>
          <w:szCs w:val="24"/>
          <w:lang w:eastAsia="pt-BR"/>
        </w:rPr>
        <w:t>que a</w:t>
      </w:r>
      <w:r>
        <w:rPr>
          <w:rFonts w:eastAsia="Times New Roman" w:cs="Arial" w:ascii="Adobe Jenson Pro Subh" w:hAnsi="Adobe Jenson Pro Subh"/>
          <w:b/>
          <w:bCs/>
          <w:color w:val="000000"/>
          <w:sz w:val="24"/>
          <w:szCs w:val="24"/>
          <w:lang w:eastAsia="pt-BR"/>
        </w:rPr>
        <w:t xml:space="preserve"> </w:t>
      </w:r>
      <w:r>
        <w:rPr>
          <w:rFonts w:eastAsia="Times New Roman" w:cs="Arial" w:ascii="Adobe Jenson Pro Subh" w:hAnsi="Adobe Jenson Pro Subh"/>
          <w:bCs/>
          <w:color w:val="000000"/>
          <w:sz w:val="24"/>
          <w:szCs w:val="24"/>
          <w:lang w:eastAsia="pt-BR"/>
        </w:rPr>
        <w:t xml:space="preserve">Lei dos Partidos Políticos prevê, como sanção ao partido político que não prestou as devidas contas à Justiça Eleitoral, </w:t>
      </w:r>
      <w:r>
        <w:rPr>
          <w:rFonts w:cs="Arial" w:ascii="Adobe Jenson Pro Subh" w:hAnsi="Adobe Jenson Pro Subh"/>
          <w:b/>
          <w:color w:val="000000"/>
          <w:sz w:val="24"/>
          <w:szCs w:val="24"/>
        </w:rPr>
        <w:t xml:space="preserve">o cancelamento do registro civil e do estatuto do partido </w:t>
      </w:r>
      <w:r>
        <w:rPr>
          <w:rFonts w:eastAsia="Times New Roman" w:cs="Arial" w:ascii="Adobe Jenson Pro Subh" w:hAnsi="Adobe Jenson Pro Subh"/>
          <w:bCs/>
          <w:color w:val="000000"/>
          <w:sz w:val="24"/>
          <w:szCs w:val="24"/>
          <w:lang w:eastAsia="pt-BR"/>
        </w:rPr>
        <w:t xml:space="preserve">(art. 28, inciso III, da Lei n.º 9.096/1995) </w:t>
      </w:r>
    </w:p>
    <w:p>
      <w:pPr>
        <w:pStyle w:val="Padro"/>
        <w:spacing w:lineRule="auto" w:line="360" w:before="0" w:after="0"/>
        <w:jc w:val="both"/>
        <w:rPr/>
      </w:pPr>
      <w:r>
        <w:rPr/>
      </w:r>
    </w:p>
    <w:p>
      <w:pPr>
        <w:pStyle w:val="NormalWeb"/>
        <w:spacing w:lineRule="auto" w:line="360"/>
        <w:jc w:val="both"/>
        <w:rPr/>
      </w:pPr>
      <w:r>
        <w:rPr>
          <w:rFonts w:cs="Arial" w:ascii="Adobe Jenson Pro Subh" w:hAnsi="Adobe Jenson Pro Subh"/>
          <w:b/>
          <w:color w:val="000000"/>
        </w:rPr>
        <w:t>Considerando</w:t>
      </w:r>
      <w:r>
        <w:rPr>
          <w:rFonts w:cs="Arial" w:ascii="Adobe Jenson Pro Subh" w:hAnsi="Adobe Jenson Pro Subh"/>
          <w:color w:val="000000"/>
        </w:rPr>
        <w:t xml:space="preserve"> que,</w:t>
      </w:r>
      <w:r>
        <w:rPr>
          <w:rFonts w:cs="Arial" w:ascii="Adobe Jenson Pro Subh" w:hAnsi="Adobe Jenson Pro Subh"/>
          <w:bCs/>
          <w:color w:val="000000"/>
        </w:rPr>
        <w:t xml:space="preserve"> j</w:t>
      </w:r>
      <w:r>
        <w:rPr>
          <w:rFonts w:cs="Arial" w:ascii="Adobe Jenson Pro Subh" w:hAnsi="Adobe Jenson Pro Subh"/>
        </w:rPr>
        <w:t>ulgadas não prestadas as contas do órgão nacional do partido, o TSE deve disponibilizar o processo ao MPE para fins do previsto no art. 28, inciso III, da Lei n.º 9.096/1995 (art. 48, §1º, da Res.-TSE nº 23.546/2017);</w:t>
      </w:r>
    </w:p>
    <w:p>
      <w:pPr>
        <w:pStyle w:val="NormalWeb"/>
        <w:spacing w:lineRule="auto" w:line="360"/>
        <w:jc w:val="both"/>
        <w:rPr/>
      </w:pPr>
      <w:r>
        <w:rPr/>
      </w:r>
    </w:p>
    <w:p>
      <w:pPr>
        <w:pStyle w:val="Padro"/>
        <w:spacing w:lineRule="auto" w:line="360" w:before="0" w:after="0"/>
        <w:jc w:val="both"/>
        <w:rPr/>
      </w:pPr>
      <w:r>
        <w:rPr>
          <w:rFonts w:eastAsia="Times New Roman" w:cs="Arial" w:ascii="Adobe Jenson Pro Subh" w:hAnsi="Adobe Jenson Pro Subh"/>
          <w:b/>
          <w:bCs/>
          <w:sz w:val="24"/>
          <w:szCs w:val="24"/>
          <w:lang w:eastAsia="pt-BR"/>
        </w:rPr>
        <w:t>Considerando</w:t>
      </w:r>
      <w:r>
        <w:rPr>
          <w:rFonts w:eastAsia="Times New Roman" w:cs="Arial" w:ascii="Adobe Jenson Pro Subh" w:hAnsi="Adobe Jenson Pro Subh"/>
          <w:sz w:val="24"/>
          <w:szCs w:val="24"/>
          <w:lang w:eastAsia="pt-BR"/>
        </w:rPr>
        <w:t xml:space="preserve"> que a falta de prestação de contas implicará a </w:t>
      </w:r>
      <w:r>
        <w:rPr>
          <w:rFonts w:eastAsia="Times New Roman" w:cs="Arial" w:ascii="Adobe Jenson Pro Subh" w:hAnsi="Adobe Jenson Pro Subh"/>
          <w:b/>
          <w:bCs/>
          <w:sz w:val="24"/>
          <w:szCs w:val="24"/>
          <w:lang w:eastAsia="pt-BR"/>
        </w:rPr>
        <w:t>suspensão de novas cotas do fundo Partidário</w:t>
      </w:r>
      <w:r>
        <w:rPr>
          <w:rFonts w:eastAsia="Times New Roman" w:cs="Arial" w:ascii="Adobe Jenson Pro Subh" w:hAnsi="Adobe Jenson Pro Subh"/>
          <w:sz w:val="24"/>
          <w:szCs w:val="24"/>
          <w:lang w:eastAsia="pt-BR"/>
        </w:rPr>
        <w:t xml:space="preserve"> enquanto perdurar a inadimplência e sujeitará os responsáveis às penas da lei (art. 37-A da Lei n.º 9.096/1995);</w:t>
      </w:r>
    </w:p>
    <w:p>
      <w:pPr>
        <w:pStyle w:val="Padro"/>
        <w:spacing w:lineRule="auto" w:line="360" w:before="0" w:after="0"/>
        <w:jc w:val="both"/>
        <w:rPr/>
      </w:pPr>
      <w:r>
        <w:rPr/>
      </w:r>
    </w:p>
    <w:p>
      <w:pPr>
        <w:pStyle w:val="Padro"/>
        <w:spacing w:lineRule="auto" w:line="360" w:before="0" w:after="0"/>
        <w:jc w:val="both"/>
        <w:rPr/>
      </w:pPr>
      <w:r>
        <w:rPr>
          <w:rFonts w:eastAsia="Times New Roman" w:cs="Arial" w:ascii="Adobe Jenson Pro Subh" w:hAnsi="Adobe Jenson Pro Subh"/>
          <w:b/>
          <w:sz w:val="24"/>
          <w:szCs w:val="24"/>
          <w:lang w:eastAsia="pt-BR"/>
        </w:rPr>
        <w:t>Considerando</w:t>
      </w:r>
      <w:r>
        <w:rPr>
          <w:rFonts w:eastAsia="Times New Roman" w:cs="Arial" w:ascii="Adobe Jenson Pro Subh" w:hAnsi="Adobe Jenson Pro Subh"/>
          <w:sz w:val="24"/>
          <w:szCs w:val="24"/>
          <w:lang w:eastAsia="pt-BR"/>
        </w:rPr>
        <w:t xml:space="preserve"> que o partido político que não prestar contas fica </w:t>
      </w:r>
      <w:r>
        <w:rPr>
          <w:rFonts w:eastAsia="Times New Roman" w:cs="Arial" w:ascii="Adobe Jenson Pro Subh" w:hAnsi="Adobe Jenson Pro Subh"/>
          <w:b/>
          <w:sz w:val="24"/>
          <w:szCs w:val="24"/>
          <w:lang w:eastAsia="pt-BR"/>
        </w:rPr>
        <w:t>proibido de receber recursos oriundos do Fundo Partidário</w:t>
      </w:r>
      <w:r>
        <w:rPr>
          <w:rFonts w:eastAsia="Times New Roman" w:cs="Arial" w:ascii="Adobe Jenson Pro Subh" w:hAnsi="Adobe Jenson Pro Subh"/>
          <w:sz w:val="24"/>
          <w:szCs w:val="24"/>
          <w:lang w:eastAsia="pt-BR"/>
        </w:rPr>
        <w:t xml:space="preserve">, enquanto não for regularizada a situação do partido político (art. 48, </w:t>
      </w:r>
      <w:r>
        <w:rPr>
          <w:rFonts w:eastAsia="Times New Roman" w:cs="Arial" w:ascii="Adobe Jenson Pro Subh" w:hAnsi="Adobe Jenson Pro Subh"/>
          <w:i/>
          <w:iCs/>
          <w:sz w:val="24"/>
          <w:szCs w:val="24"/>
          <w:lang w:eastAsia="pt-BR"/>
        </w:rPr>
        <w:t>caput</w:t>
      </w:r>
      <w:r>
        <w:rPr>
          <w:rFonts w:eastAsia="Times New Roman" w:cs="Arial" w:ascii="Adobe Jenson Pro Subh" w:hAnsi="Adobe Jenson Pro Subh"/>
          <w:sz w:val="24"/>
          <w:szCs w:val="24"/>
          <w:lang w:eastAsia="pt-BR"/>
        </w:rPr>
        <w:t>,  da Res.-TSE nº 23.546/2017);</w:t>
      </w:r>
    </w:p>
    <w:p>
      <w:pPr>
        <w:pStyle w:val="Padro"/>
        <w:spacing w:lineRule="auto" w:line="360" w:before="0" w:after="0"/>
        <w:jc w:val="both"/>
        <w:rPr/>
      </w:pPr>
      <w:r>
        <w:rPr/>
      </w:r>
    </w:p>
    <w:p>
      <w:pPr>
        <w:pStyle w:val="Padro"/>
        <w:spacing w:lineRule="auto" w:line="360" w:before="0" w:after="0"/>
        <w:jc w:val="both"/>
        <w:rPr>
          <w:rFonts w:ascii="Adobe Jenson Pro Subh" w:hAnsi="Adobe Jenson Pro Subh" w:eastAsia="Times New Roman" w:cs="Arial"/>
          <w:sz w:val="24"/>
          <w:szCs w:val="24"/>
          <w:lang w:eastAsia="pt-BR"/>
        </w:rPr>
      </w:pPr>
      <w:r>
        <w:rPr>
          <w:rFonts w:eastAsia="Times New Roman" w:cs="Arial" w:ascii="Adobe Jenson Pro Subh" w:hAnsi="Adobe Jenson Pro Subh"/>
          <w:sz w:val="24"/>
          <w:szCs w:val="24"/>
          <w:lang w:eastAsia="pt-BR"/>
        </w:rPr>
      </w:r>
    </w:p>
    <w:p>
      <w:pPr>
        <w:pStyle w:val="Padro"/>
        <w:spacing w:lineRule="auto" w:line="360" w:before="0" w:after="0"/>
        <w:jc w:val="both"/>
        <w:rPr/>
      </w:pPr>
      <w:r>
        <w:rPr>
          <w:rFonts w:eastAsia="Times New Roman" w:cs="Arial" w:ascii="Adobe Jenson Pro Subh" w:hAnsi="Adobe Jenson Pro Subh"/>
          <w:sz w:val="24"/>
          <w:szCs w:val="24"/>
          <w:lang w:eastAsia="pt-BR"/>
        </w:rPr>
        <w:t xml:space="preserve">Considerando que o partido político que não prestar contas </w:t>
      </w:r>
      <w:r>
        <w:rPr>
          <w:rFonts w:eastAsia="Times New Roman" w:cs="Arial" w:ascii="Adobe Jenson Pro Subh" w:hAnsi="Adobe Jenson Pro Subh"/>
          <w:color w:val="000000"/>
          <w:sz w:val="24"/>
          <w:szCs w:val="24"/>
          <w:lang w:eastAsia="pt-BR"/>
        </w:rPr>
        <w:t xml:space="preserve">fica </w:t>
      </w:r>
      <w:r>
        <w:rPr>
          <w:rFonts w:eastAsia="Times New Roman" w:cs="Arial" w:ascii="Adobe Jenson Pro Subh" w:hAnsi="Adobe Jenson Pro Subh"/>
          <w:b/>
          <w:color w:val="000000"/>
          <w:sz w:val="24"/>
          <w:szCs w:val="24"/>
          <w:lang w:eastAsia="pt-BR"/>
        </w:rPr>
        <w:t>obrigado a devolver integralmente todos os recursos provenientes do Fundo Partidário</w:t>
      </w:r>
      <w:r>
        <w:rPr>
          <w:rFonts w:eastAsia="Times New Roman" w:cs="Arial" w:ascii="Adobe Jenson Pro Subh" w:hAnsi="Adobe Jenson Pro Subh"/>
          <w:color w:val="000000"/>
          <w:sz w:val="24"/>
          <w:szCs w:val="24"/>
          <w:lang w:eastAsia="pt-BR"/>
        </w:rPr>
        <w:t xml:space="preserve"> que lhe forem entregues, distribuídos ou repassados bem como terá suspenso o registro ou a anotação, no caso de órgão de direção estadual ou municipal (art. 48, §2º, da Res.-TSE nº 23.546/2017);</w:t>
      </w:r>
    </w:p>
    <w:p>
      <w:pPr>
        <w:pStyle w:val="Padro"/>
        <w:spacing w:lineRule="auto" w:line="360" w:before="0" w:after="0"/>
        <w:jc w:val="both"/>
        <w:rPr/>
      </w:pPr>
      <w:r>
        <w:rPr/>
      </w:r>
    </w:p>
    <w:p>
      <w:pPr>
        <w:pStyle w:val="Padro"/>
        <w:spacing w:lineRule="auto" w:line="360" w:before="0" w:after="0"/>
        <w:jc w:val="both"/>
        <w:rPr/>
      </w:pPr>
      <w:r>
        <w:rPr>
          <w:rFonts w:eastAsia="Times New Roman" w:cs="Arial" w:ascii="Adobe Jenson Pro Subh" w:hAnsi="Adobe Jenson Pro Subh"/>
          <w:sz w:val="24"/>
          <w:szCs w:val="24"/>
          <w:lang w:eastAsia="pt-BR"/>
        </w:rPr>
        <w:t xml:space="preserve">Considerando que será </w:t>
      </w:r>
      <w:r>
        <w:rPr>
          <w:rFonts w:eastAsia="Times New Roman" w:cs="Arial" w:ascii="Adobe Jenson Pro Subh" w:hAnsi="Adobe Jenson Pro Subh"/>
          <w:b/>
          <w:bCs/>
          <w:sz w:val="24"/>
          <w:szCs w:val="24"/>
          <w:lang w:eastAsia="pt-BR"/>
        </w:rPr>
        <w:t>suspenso o registro ou a anotação do órgão de direção estadual ou municipal</w:t>
      </w:r>
      <w:r>
        <w:rPr>
          <w:rFonts w:eastAsia="Times New Roman" w:cs="Arial" w:ascii="Adobe Jenson Pro Subh" w:hAnsi="Adobe Jenson Pro Subh"/>
          <w:sz w:val="24"/>
          <w:szCs w:val="24"/>
          <w:lang w:eastAsia="pt-BR"/>
        </w:rPr>
        <w:t xml:space="preserve"> que tiver suas contas partidárias julgadas como não prestadas, devendo o órgão ser inativado e novas anotações indeferidas até que seja regularizada a situação (art. 42 da Res.-TSE n. 23.571/2018);</w:t>
      </w:r>
    </w:p>
    <w:p>
      <w:pPr>
        <w:pStyle w:val="Padro"/>
        <w:spacing w:lineRule="auto" w:line="360" w:before="0" w:after="0"/>
        <w:jc w:val="both"/>
        <w:rPr/>
      </w:pPr>
      <w:r>
        <w:rPr/>
      </w:r>
    </w:p>
    <w:p>
      <w:pPr>
        <w:pStyle w:val="Padro"/>
        <w:spacing w:lineRule="auto" w:line="360" w:before="0" w:after="0"/>
        <w:jc w:val="both"/>
        <w:rPr/>
      </w:pPr>
      <w:r>
        <w:rPr>
          <w:rFonts w:eastAsia="Times New Roman" w:cs="Arial" w:ascii="Adobe Jenson Pro Subh" w:hAnsi="Adobe Jenson Pro Subh"/>
          <w:sz w:val="24"/>
          <w:szCs w:val="24"/>
          <w:lang w:eastAsia="pt-BR"/>
        </w:rPr>
        <w:t>Considerando o entendimento firmado pelo Pleno do Tribunal Superior Eleitoral assentando que</w:t>
      </w:r>
      <w:r>
        <w:rPr>
          <w:rFonts w:eastAsia="Times New Roman" w:cs="Arial" w:ascii="Adobe Jenson Pro Subh" w:hAnsi="Adobe Jenson Pro Subh"/>
          <w:i/>
          <w:iCs/>
          <w:sz w:val="24"/>
          <w:szCs w:val="24"/>
          <w:lang w:eastAsia="pt-BR"/>
        </w:rPr>
        <w:t xml:space="preserve"> “a inexistência, no sistema de anotação do tribunal eleitoral competente, de órgão de direção do partido, constituído de acordo com o respectivo estatuto, até a data da convenção, </w:t>
      </w:r>
      <w:r>
        <w:rPr>
          <w:rFonts w:eastAsia="Times New Roman" w:cs="Arial" w:ascii="Adobe Jenson Pro Subh" w:hAnsi="Adobe Jenson Pro Subh"/>
          <w:b/>
          <w:bCs/>
          <w:i/>
          <w:iCs/>
          <w:sz w:val="24"/>
          <w:szCs w:val="24"/>
          <w:lang w:eastAsia="pt-BR"/>
        </w:rPr>
        <w:t>impede a agremiação de participar do pleito</w:t>
      </w:r>
      <w:r>
        <w:rPr>
          <w:rFonts w:eastAsia="Times New Roman" w:cs="Arial" w:ascii="Adobe Jenson Pro Subh" w:hAnsi="Adobe Jenson Pro Subh"/>
          <w:i/>
          <w:iCs/>
          <w:sz w:val="24"/>
          <w:szCs w:val="24"/>
          <w:lang w:eastAsia="pt-BR"/>
        </w:rPr>
        <w:t xml:space="preserve">” </w:t>
      </w:r>
      <w:r>
        <w:rPr>
          <w:rFonts w:eastAsia="Times New Roman" w:cs="Arial" w:ascii="Adobe Jenson Pro Subh" w:hAnsi="Adobe Jenson Pro Subh"/>
          <w:sz w:val="24"/>
          <w:szCs w:val="24"/>
          <w:lang w:eastAsia="pt-BR"/>
        </w:rPr>
        <w:t>(R</w:t>
      </w:r>
      <w:r>
        <w:rPr>
          <w:rFonts w:eastAsia="Times New Roman" w:cs="Arial" w:ascii="Adobe Jenson Pro Subh" w:hAnsi="Adobe Jenson Pro Subh"/>
          <w:color w:val="000000"/>
          <w:sz w:val="24"/>
          <w:szCs w:val="24"/>
          <w:lang w:eastAsia="pt-BR"/>
        </w:rPr>
        <w:t xml:space="preserve">ecurso Especial Eleitoral nº 060140239 - BRASÍLIA – DF - </w:t>
      </w:r>
      <w:r>
        <w:rPr>
          <w:rFonts w:ascii="Adobe Jenson Pro Subh" w:hAnsi="Adobe Jenson Pro Subh"/>
          <w:color w:val="000000"/>
          <w:sz w:val="24"/>
          <w:szCs w:val="24"/>
        </w:rPr>
        <w:t>Acórdão de 22/11/2018 - Relator(a) Min. Og Fernandes – Publicação: PSESS - Publicado em Sessão, Data 22/11/2018);</w:t>
      </w:r>
    </w:p>
    <w:p>
      <w:pPr>
        <w:pStyle w:val="Padro"/>
        <w:spacing w:lineRule="auto" w:line="360" w:before="0" w:after="0"/>
        <w:jc w:val="both"/>
        <w:rPr/>
      </w:pPr>
      <w:r>
        <w:rPr/>
      </w:r>
    </w:p>
    <w:p>
      <w:pPr>
        <w:pStyle w:val="Padro"/>
        <w:spacing w:lineRule="auto" w:line="360" w:before="0" w:after="0"/>
        <w:jc w:val="both"/>
        <w:rPr/>
      </w:pPr>
      <w:r>
        <w:rPr>
          <w:rFonts w:ascii="Adobe Jenson Pro Subh" w:hAnsi="Adobe Jenson Pro Subh"/>
          <w:b/>
          <w:bCs/>
          <w:color w:val="000000"/>
          <w:sz w:val="24"/>
          <w:szCs w:val="24"/>
        </w:rPr>
        <w:t>Considerando</w:t>
      </w:r>
      <w:r>
        <w:rPr>
          <w:rFonts w:ascii="Adobe Jenson Pro Subh" w:hAnsi="Adobe Jenson Pro Subh"/>
          <w:color w:val="000000"/>
          <w:sz w:val="24"/>
          <w:szCs w:val="24"/>
        </w:rPr>
        <w:t xml:space="preserve"> a independência entre as instâncias partidárias, assegurada notadamente na regra que esclarece que o partido, em nível nacional, não sofrerá a suspensão das cotas do Fundo Partidário, nem qualquer outra punição como consequência de atos praticados por órgãos regionais ou municipais (art. 28, §3º, da Lei nº 9.096/1995);</w:t>
      </w:r>
    </w:p>
    <w:p>
      <w:pPr>
        <w:pStyle w:val="Padro"/>
        <w:spacing w:lineRule="auto" w:line="360" w:before="0" w:after="0"/>
        <w:jc w:val="both"/>
        <w:rPr/>
      </w:pPr>
      <w:r>
        <w:rPr/>
      </w:r>
    </w:p>
    <w:p>
      <w:pPr>
        <w:pStyle w:val="Padro"/>
        <w:spacing w:lineRule="auto" w:line="360" w:before="0" w:after="0"/>
        <w:jc w:val="both"/>
        <w:rPr/>
      </w:pPr>
      <w:r>
        <w:rPr>
          <w:rFonts w:ascii="Adobe Jenson Pro Subh" w:hAnsi="Adobe Jenson Pro Subh"/>
          <w:b/>
          <w:bCs/>
          <w:color w:val="000000"/>
          <w:sz w:val="24"/>
          <w:szCs w:val="24"/>
        </w:rPr>
        <w:t>Considerando</w:t>
      </w:r>
      <w:r>
        <w:rPr>
          <w:rFonts w:ascii="Adobe Jenson Pro Subh" w:hAnsi="Adobe Jenson Pro Subh"/>
          <w:color w:val="000000"/>
          <w:sz w:val="24"/>
          <w:szCs w:val="24"/>
        </w:rPr>
        <w:t xml:space="preserve"> o teor da </w:t>
      </w:r>
      <w:r>
        <w:rPr>
          <w:rFonts w:eastAsia="Times New Roman" w:cs="Arial" w:ascii="Adobe Jenson Pro Subh" w:hAnsi="Adobe Jenson Pro Subh"/>
          <w:color w:val="000000"/>
          <w:sz w:val="24"/>
          <w:szCs w:val="24"/>
          <w:lang w:eastAsia="pt-BR"/>
        </w:rPr>
        <w:t xml:space="preserve">medida cautelar deferida parcialmente pelo Ministro Gilmar Mendes, </w:t>
      </w:r>
      <w:r>
        <w:rPr>
          <w:rFonts w:eastAsia="Times New Roman" w:cs="Arial" w:ascii="Adobe Jenson Pro Subh" w:hAnsi="Adobe Jenson Pro Subh"/>
          <w:i/>
          <w:iCs/>
          <w:color w:val="000000"/>
          <w:sz w:val="24"/>
          <w:szCs w:val="24"/>
          <w:lang w:eastAsia="pt-BR"/>
        </w:rPr>
        <w:t>ad referendum</w:t>
      </w:r>
      <w:r>
        <w:rPr>
          <w:rFonts w:eastAsia="Times New Roman" w:cs="Arial" w:ascii="Adobe Jenson Pro Subh" w:hAnsi="Adobe Jenson Pro Subh"/>
          <w:color w:val="000000"/>
          <w:sz w:val="24"/>
          <w:szCs w:val="24"/>
          <w:lang w:eastAsia="pt-BR"/>
        </w:rPr>
        <w:t xml:space="preserve"> do Plenário, para conferir interpretação conforme </w:t>
      </w:r>
      <w:r>
        <w:rPr>
          <w:rFonts w:eastAsia="Times New Roman" w:cs="Arial" w:ascii="Adobe Jenson Pro Subh" w:hAnsi="Adobe Jenson Pro Subh"/>
          <w:color w:val="000000"/>
          <w:sz w:val="24"/>
          <w:szCs w:val="24"/>
          <w:lang w:eastAsia="pt-BR"/>
        </w:rPr>
        <w:t>a</w:t>
      </w:r>
      <w:r>
        <w:rPr>
          <w:rFonts w:eastAsia="Times New Roman" w:cs="Arial" w:ascii="Adobe Jenson Pro Subh" w:hAnsi="Adobe Jenson Pro Subh"/>
          <w:color w:val="000000"/>
          <w:sz w:val="24"/>
          <w:szCs w:val="24"/>
          <w:lang w:eastAsia="pt-BR"/>
        </w:rPr>
        <w:t xml:space="preserve"> Constituição às normas do art. 47, </w:t>
      </w:r>
      <w:r>
        <w:rPr>
          <w:rFonts w:eastAsia="Times New Roman" w:cs="Arial" w:ascii="Adobe Jenson Pro Subh" w:hAnsi="Adobe Jenson Pro Subh"/>
          <w:i/>
          <w:iCs/>
          <w:color w:val="000000"/>
          <w:sz w:val="24"/>
          <w:szCs w:val="24"/>
          <w:lang w:eastAsia="pt-BR"/>
        </w:rPr>
        <w:t>caput</w:t>
      </w:r>
      <w:r>
        <w:rPr>
          <w:rFonts w:eastAsia="Times New Roman" w:cs="Arial" w:ascii="Adobe Jenson Pro Subh" w:hAnsi="Adobe Jenson Pro Subh"/>
          <w:color w:val="000000"/>
          <w:sz w:val="24"/>
          <w:szCs w:val="24"/>
          <w:lang w:eastAsia="pt-BR"/>
        </w:rPr>
        <w:t xml:space="preserve"> e § 2º, da Res.-TSE n.º  23.432/2014; do art. 48, </w:t>
      </w:r>
      <w:r>
        <w:rPr>
          <w:rFonts w:eastAsia="Times New Roman" w:cs="Arial" w:ascii="Adobe Jenson Pro Subh" w:hAnsi="Adobe Jenson Pro Subh"/>
          <w:i/>
          <w:iCs/>
          <w:color w:val="000000"/>
          <w:sz w:val="24"/>
          <w:szCs w:val="24"/>
          <w:lang w:eastAsia="pt-BR"/>
        </w:rPr>
        <w:t xml:space="preserve">caput </w:t>
      </w:r>
      <w:r>
        <w:rPr>
          <w:rFonts w:eastAsia="Times New Roman" w:cs="Arial" w:ascii="Adobe Jenson Pro Subh" w:hAnsi="Adobe Jenson Pro Subh"/>
          <w:color w:val="000000"/>
          <w:sz w:val="24"/>
          <w:szCs w:val="24"/>
          <w:lang w:eastAsia="pt-BR"/>
        </w:rPr>
        <w:t xml:space="preserve">e § 2º, da Res.-TSE n.º 23.546/2017; e do art. 42, </w:t>
      </w:r>
      <w:r>
        <w:rPr>
          <w:rFonts w:eastAsia="Times New Roman" w:cs="Arial" w:ascii="Adobe Jenson Pro Subh" w:hAnsi="Adobe Jenson Pro Subh"/>
          <w:i/>
          <w:iCs/>
          <w:color w:val="000000"/>
          <w:sz w:val="24"/>
          <w:szCs w:val="24"/>
          <w:lang w:eastAsia="pt-BR"/>
        </w:rPr>
        <w:t>caput</w:t>
      </w:r>
      <w:r>
        <w:rPr>
          <w:rFonts w:eastAsia="Times New Roman" w:cs="Arial" w:ascii="Adobe Jenson Pro Subh" w:hAnsi="Adobe Jenson Pro Subh"/>
          <w:color w:val="000000"/>
          <w:sz w:val="24"/>
          <w:szCs w:val="24"/>
          <w:lang w:eastAsia="pt-BR"/>
        </w:rPr>
        <w:t xml:space="preserve">, da Res.-TSE n.º </w:t>
      </w:r>
    </w:p>
    <w:p>
      <w:pPr>
        <w:pStyle w:val="Padro"/>
        <w:spacing w:lineRule="auto" w:line="360" w:before="0" w:after="0"/>
        <w:jc w:val="both"/>
        <w:rPr>
          <w:rFonts w:ascii="Adobe Jenson Pro Subh" w:hAnsi="Adobe Jenson Pro Subh" w:eastAsia="Times New Roman" w:cs="Arial"/>
          <w:color w:val="000000"/>
          <w:sz w:val="24"/>
          <w:szCs w:val="24"/>
          <w:lang w:eastAsia="pt-BR"/>
        </w:rPr>
      </w:pPr>
      <w:r>
        <w:rPr>
          <w:rFonts w:eastAsia="Times New Roman" w:cs="Arial" w:ascii="Adobe Jenson Pro Subh" w:hAnsi="Adobe Jenson Pro Subh"/>
          <w:color w:val="000000"/>
          <w:sz w:val="24"/>
          <w:szCs w:val="24"/>
          <w:lang w:eastAsia="pt-BR"/>
        </w:rPr>
      </w:r>
    </w:p>
    <w:p>
      <w:pPr>
        <w:pStyle w:val="Padro"/>
        <w:spacing w:lineRule="auto" w:line="360" w:before="0" w:after="0"/>
        <w:jc w:val="both"/>
        <w:rPr/>
      </w:pPr>
      <w:r>
        <w:rPr>
          <w:rFonts w:eastAsia="Times New Roman" w:cs="Arial" w:ascii="Adobe Jenson Pro Subh" w:hAnsi="Adobe Jenson Pro Subh"/>
          <w:color w:val="000000"/>
          <w:sz w:val="24"/>
          <w:szCs w:val="24"/>
          <w:lang w:eastAsia="pt-BR"/>
        </w:rPr>
        <w:t>23.571/2018, afastando interpretação que permita que a sanção de suspensão do registro ou anotação do órgão partidário regional ou municipal seja aplicada de forma automática, como consequência da decisão que julga as contas não prestadas, assegurando que tal penalidade somente pode ser aplicada após decisão, decorrente de procedimento específico de suspensão de registro, nos termos do art. 28 da Lei n.º 9.096/1995 (ADI n.º 6.032/DF, decisão monocrática de 16 de maio de 2019);</w:t>
      </w:r>
    </w:p>
    <w:p>
      <w:pPr>
        <w:pStyle w:val="Padro"/>
        <w:spacing w:lineRule="auto" w:line="360" w:before="0" w:after="0"/>
        <w:jc w:val="both"/>
        <w:rPr/>
      </w:pPr>
      <w:r>
        <w:rPr>
          <w:rFonts w:eastAsia="Times New Roman" w:cs="Arial" w:ascii="Adobe Jenson Pro Subh" w:hAnsi="Adobe Jenson Pro Subh"/>
          <w:sz w:val="24"/>
          <w:szCs w:val="24"/>
          <w:lang w:eastAsia="pt-BR"/>
        </w:rPr>
        <w:t xml:space="preserve"> </w:t>
      </w:r>
    </w:p>
    <w:p>
      <w:pPr>
        <w:pStyle w:val="Padro"/>
        <w:spacing w:lineRule="auto" w:line="360" w:before="0" w:after="0"/>
        <w:jc w:val="both"/>
        <w:rPr/>
      </w:pPr>
      <w:r>
        <w:rPr>
          <w:rFonts w:cs="Arial" w:ascii="Adobe Jenson Pro Subh" w:hAnsi="Adobe Jenson Pro Subh"/>
          <w:b/>
          <w:sz w:val="24"/>
          <w:szCs w:val="24"/>
        </w:rPr>
        <w:t>Considerando</w:t>
      </w:r>
      <w:r>
        <w:rPr>
          <w:rFonts w:cs="Arial" w:ascii="Adobe Jenson Pro Subh" w:hAnsi="Adobe Jenson Pro Subh"/>
          <w:sz w:val="24"/>
          <w:szCs w:val="24"/>
        </w:rPr>
        <w:t xml:space="preserve"> que o </w:t>
      </w:r>
      <w:r>
        <w:rPr>
          <w:rFonts w:cs="Arial" w:ascii="Adobe Jenson Pro Subh" w:hAnsi="Adobe Jenson Pro Subh"/>
          <w:b/>
          <w:sz w:val="24"/>
          <w:szCs w:val="24"/>
        </w:rPr>
        <w:t>PARTIDO POLÍTICO XXX</w:t>
      </w:r>
      <w:r>
        <w:rPr>
          <w:rFonts w:cs="Arial" w:ascii="Adobe Jenson Pro Subh" w:hAnsi="Adobe Jenson Pro Subh"/>
          <w:sz w:val="24"/>
          <w:szCs w:val="24"/>
        </w:rPr>
        <w:t xml:space="preserve"> teve suas contas, relativas ao exercício de XXXX, julgadas não prestadas em caráter definitivo pela Justiça Eleitoral;</w:t>
      </w:r>
    </w:p>
    <w:p>
      <w:pPr>
        <w:pStyle w:val="Padro"/>
        <w:spacing w:lineRule="auto" w:line="360" w:before="0" w:after="0"/>
        <w:jc w:val="both"/>
        <w:rPr/>
      </w:pPr>
      <w:r>
        <w:rPr/>
      </w:r>
    </w:p>
    <w:p>
      <w:pPr>
        <w:pStyle w:val="Padro"/>
        <w:spacing w:lineRule="auto" w:line="360" w:before="0" w:after="0"/>
        <w:jc w:val="both"/>
        <w:rPr/>
      </w:pPr>
      <w:r>
        <w:rPr>
          <w:rFonts w:cs="Arial" w:ascii="Adobe Jenson Pro Subh" w:hAnsi="Adobe Jenson Pro Subh"/>
          <w:b/>
          <w:sz w:val="24"/>
          <w:szCs w:val="24"/>
        </w:rPr>
        <w:t>Considerando</w:t>
      </w:r>
      <w:r>
        <w:rPr>
          <w:rFonts w:cs="Arial" w:ascii="Adobe Jenson Pro Subh" w:hAnsi="Adobe Jenson Pro Subh"/>
          <w:sz w:val="24"/>
          <w:szCs w:val="24"/>
        </w:rPr>
        <w:t xml:space="preserve"> que compete ao Ministério Público expedir recomendações administrativas conforme prevê o art. 6º, inciso XX, da Lei Complementar n.º 75, de 20 de maio de 1993.</w:t>
      </w:r>
    </w:p>
    <w:p>
      <w:pPr>
        <w:pStyle w:val="Padro"/>
        <w:spacing w:lineRule="auto" w:line="360" w:before="0" w:after="0"/>
        <w:jc w:val="both"/>
        <w:rPr/>
      </w:pPr>
      <w:r>
        <w:rPr/>
      </w:r>
    </w:p>
    <w:p>
      <w:pPr>
        <w:pStyle w:val="Padro"/>
        <w:spacing w:lineRule="auto" w:line="360" w:before="0" w:after="0"/>
        <w:jc w:val="both"/>
        <w:rPr/>
      </w:pPr>
      <w:r>
        <w:rPr>
          <w:rFonts w:cs="Arial" w:ascii="Adobe Jenson Pro Subh" w:hAnsi="Adobe Jenson Pro Subh"/>
          <w:sz w:val="24"/>
          <w:szCs w:val="24"/>
        </w:rPr>
        <w:t xml:space="preserve">O MINISTÉRIO PÚBLICO ELEITORAL </w:t>
      </w:r>
      <w:r>
        <w:rPr>
          <w:rFonts w:cs="Arial" w:ascii="Adobe Jenson Pro Subh" w:hAnsi="Adobe Jenson Pro Subh"/>
          <w:b/>
          <w:sz w:val="24"/>
          <w:szCs w:val="24"/>
          <w:u w:val="single"/>
        </w:rPr>
        <w:t>RECOMENDA</w:t>
      </w:r>
      <w:r>
        <w:rPr>
          <w:rFonts w:cs="Arial" w:ascii="Adobe Jenson Pro Subh" w:hAnsi="Adobe Jenson Pro Subh"/>
          <w:sz w:val="24"/>
          <w:szCs w:val="24"/>
        </w:rPr>
        <w:t xml:space="preserve"> aos Dirigentes do Partido Político XXX, do Município de XXX, a regularização da situação partidária, prestando contas à Justiça Eleitoral da  XXXª Zona Eleitoral, no prazo de 20 (vinte) dias, sob pena de sofrer ação eleitoral visando a suspensão do registro ou anotação dos atos constitutivos da agremiação com a consequente impossibilidade de participar das eleições municipais de 2020.</w:t>
      </w:r>
    </w:p>
    <w:p>
      <w:pPr>
        <w:pStyle w:val="Padro"/>
        <w:spacing w:lineRule="auto" w:line="360" w:before="0" w:after="0"/>
        <w:jc w:val="both"/>
        <w:rPr>
          <w:rFonts w:ascii="Adobe Jenson Pro Subh" w:hAnsi="Adobe Jenson Pro Subh" w:cs="Arial"/>
          <w:sz w:val="24"/>
          <w:szCs w:val="24"/>
        </w:rPr>
      </w:pPr>
      <w:r>
        <w:rPr>
          <w:rFonts w:cs="Arial" w:ascii="Adobe Jenson Pro Subh" w:hAnsi="Adobe Jenson Pro Subh"/>
          <w:sz w:val="24"/>
          <w:szCs w:val="24"/>
        </w:rPr>
      </w:r>
    </w:p>
    <w:p>
      <w:pPr>
        <w:pStyle w:val="Padro"/>
        <w:spacing w:lineRule="auto" w:line="360" w:before="0" w:after="0"/>
        <w:jc w:val="both"/>
        <w:rPr>
          <w:rFonts w:ascii="Adobe Jenson Pro Subh" w:hAnsi="Adobe Jenson Pro Subh" w:cs="Arial"/>
          <w:sz w:val="24"/>
          <w:szCs w:val="24"/>
        </w:rPr>
      </w:pPr>
      <w:r>
        <w:rPr>
          <w:rFonts w:cs="Arial" w:ascii="Adobe Jenson Pro Subh" w:hAnsi="Adobe Jenson Pro Subh"/>
          <w:sz w:val="24"/>
          <w:szCs w:val="24"/>
        </w:rPr>
      </w:r>
    </w:p>
    <w:p>
      <w:pPr>
        <w:pStyle w:val="Padro"/>
        <w:spacing w:lineRule="auto" w:line="360" w:before="0" w:after="0"/>
        <w:jc w:val="center"/>
        <w:rPr/>
      </w:pPr>
      <w:r>
        <w:rPr>
          <w:rFonts w:cs="Arial" w:ascii="Adobe Jenson Pro Subh" w:hAnsi="Adobe Jenson Pro Subh"/>
          <w:sz w:val="24"/>
          <w:szCs w:val="24"/>
        </w:rPr>
        <w:t>XXX, XX, de agosto de 2019</w:t>
      </w:r>
    </w:p>
    <w:p>
      <w:pPr>
        <w:pStyle w:val="Padro"/>
        <w:spacing w:lineRule="auto" w:line="360" w:before="0" w:after="0"/>
        <w:jc w:val="center"/>
        <w:rPr/>
      </w:pPr>
      <w:r>
        <w:rPr>
          <w:rFonts w:cs="Arial" w:ascii="Adobe Jenson Pro Subh" w:hAnsi="Adobe Jenson Pro Subh"/>
          <w:sz w:val="24"/>
          <w:szCs w:val="24"/>
        </w:rPr>
        <w:t>Promotor de Justiça Eleitoral</w:t>
      </w:r>
    </w:p>
    <w:sectPr>
      <w:headerReference w:type="default" r:id="rId2"/>
      <w:type w:val="nextPage"/>
      <w:pgSz w:w="11906" w:h="16838"/>
      <w:pgMar w:left="1701" w:right="1701" w:header="1417" w:top="3378" w:footer="0" w:bottom="1417"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dobe Jenson Pro Subh">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0" distR="0" simplePos="0" locked="0" layoutInCell="1" allowOverlap="1" relativeHeight="5">
          <wp:simplePos x="0" y="0"/>
          <wp:positionH relativeFrom="column">
            <wp:posOffset>2331720</wp:posOffset>
          </wp:positionH>
          <wp:positionV relativeFrom="paragraph">
            <wp:posOffset>-380365</wp:posOffset>
          </wp:positionV>
          <wp:extent cx="771525" cy="84836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71525" cy="848360"/>
                  </a:xfrm>
                  <a:prstGeom prst="rect">
                    <a:avLst/>
                  </a:prstGeom>
                  <a:ln w="635">
                    <a:solidFill>
                      <a:srgbClr val="808080"/>
                    </a:solidFill>
                  </a:ln>
                </pic:spPr>
              </pic:pic>
            </a:graphicData>
          </a:graphic>
        </wp:anchor>
      </w:drawing>
    </w:r>
  </w:p>
  <w:p>
    <w:pPr>
      <w:pStyle w:val="Cabealho"/>
      <w:rPr/>
    </w:pPr>
    <w:r>
      <w:rPr/>
    </w:r>
  </w:p>
  <w:p>
    <w:pPr>
      <w:pStyle w:val="Ttulo1"/>
      <w:numPr>
        <w:ilvl w:val="0"/>
        <w:numId w:val="2"/>
      </w:numPr>
      <w:tabs>
        <w:tab w:val="clear" w:pos="708"/>
        <w:tab w:val="left" w:pos="0" w:leader="none"/>
        <w:tab w:val="left" w:pos="2835" w:leader="none"/>
      </w:tabs>
      <w:spacing w:lineRule="atLeast" w:line="200"/>
      <w:ind w:left="0" w:right="0" w:hanging="0"/>
      <w:jc w:val="center"/>
      <w:rPr/>
    </w:pPr>
    <w:r>
      <w:rPr>
        <w:rFonts w:eastAsia="Cambria" w:cs="Arial"/>
        <w:b/>
        <w:bCs/>
        <w:color w:val="auto"/>
        <w:sz w:val="20"/>
        <w:szCs w:val="20"/>
        <w:lang w:val="pt-BR" w:eastAsia="zh-CN" w:bidi="ar-SA"/>
      </w:rPr>
      <w:t>MINISTÉRIO PÚBLICO ELEITORAL</w:t>
    </w:r>
  </w:p>
  <w:p>
    <w:pPr>
      <w:pStyle w:val="Ttulo1"/>
      <w:numPr>
        <w:ilvl w:val="0"/>
        <w:numId w:val="2"/>
      </w:numPr>
      <w:tabs>
        <w:tab w:val="clear" w:pos="708"/>
        <w:tab w:val="left" w:pos="0" w:leader="none"/>
        <w:tab w:val="left" w:pos="2835" w:leader="none"/>
      </w:tabs>
      <w:spacing w:lineRule="atLeast" w:line="200" w:before="0" w:after="200"/>
      <w:ind w:left="0" w:right="0" w:hanging="0"/>
      <w:jc w:val="center"/>
      <w:rPr>
        <w:rFonts w:eastAsia="Cambria" w:cs="Arial"/>
        <w:b/>
        <w:b/>
        <w:bCs/>
        <w:smallCaps/>
        <w:color w:val="auto"/>
        <w:sz w:val="20"/>
        <w:szCs w:val="20"/>
        <w:lang w:val="pt-BR" w:eastAsia="zh-CN" w:bidi="ar-SA"/>
      </w:rPr>
    </w:pPr>
    <w:r>
      <w:rPr>
        <w:rFonts w:eastAsia="Cambria" w:cs="Arial"/>
        <w:b/>
        <w:bCs/>
        <w:smallCaps/>
        <w:color w:val="auto"/>
        <w:sz w:val="20"/>
        <w:szCs w:val="20"/>
        <w:lang w:val="pt-BR" w:eastAsia="zh-CN" w:bidi="ar-SA"/>
      </w:rPr>
      <w:t>PROMOTORIA ELEITORAL DE 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t-BR" w:eastAsia="pt-BR" w:bidi="ar-SA"/>
    </w:rPr>
  </w:style>
  <w:style w:type="paragraph" w:styleId="Ttulo1">
    <w:name w:val="Heading 1"/>
    <w:basedOn w:val="Normal"/>
    <w:next w:val="Normal"/>
    <w:qFormat/>
    <w:pPr>
      <w:keepNext w:val="true"/>
      <w:numPr>
        <w:ilvl w:val="0"/>
        <w:numId w:val="1"/>
      </w:numPr>
      <w:spacing w:lineRule="auto" w:line="360"/>
      <w:ind w:left="0" w:right="0" w:hanging="0"/>
      <w:outlineLvl w:val="0"/>
    </w:pPr>
    <w:rPr>
      <w:rFonts w:ascii="Arial" w:hAnsi="Arial" w:cs="Arial"/>
      <w:b/>
      <w:color w:val="000000"/>
      <w:sz w:val="24"/>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qFormat/>
    <w:rPr>
      <w:sz w:val="20"/>
      <w:szCs w:val="20"/>
    </w:rPr>
  </w:style>
  <w:style w:type="character" w:styleId="LinkdaInternet" w:customStyle="1">
    <w:name w:val="Link da Internet"/>
    <w:rPr>
      <w:color w:val="000080"/>
      <w:u w:val="single"/>
      <w:lang w:val="pt-BR" w:eastAsia="pt-BR" w:bidi="pt-BR"/>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widowControl w:val="false"/>
      <w:bidi w:val="0"/>
      <w:spacing w:before="0" w:after="120"/>
      <w:jc w:val="left"/>
    </w:pPr>
    <w:rPr>
      <w:rFonts w:ascii="Calibri" w:hAnsi="Calibri" w:eastAsia="" w:cs="" w:asciiTheme="minorHAnsi" w:cstheme="minorBidi" w:eastAsiaTheme="minorEastAsia" w:hAnsiTheme="minorHAnsi"/>
      <w:color w:val="auto"/>
      <w:kern w:val="0"/>
      <w:sz w:val="22"/>
      <w:szCs w:val="22"/>
      <w:lang w:val="pt-BR" w:eastAsia="pt-BR" w:bidi="ar-SA"/>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bidi w:val="0"/>
      <w:jc w:val="left"/>
    </w:pPr>
    <w:rPr>
      <w:rFonts w:ascii="Calibri" w:hAnsi="Calibri" w:eastAsia="" w:cs="Mangal" w:asciiTheme="minorHAnsi" w:eastAsiaTheme="minorEastAsia" w:hAnsiTheme="minorHAnsi"/>
      <w:color w:val="auto"/>
      <w:kern w:val="0"/>
      <w:sz w:val="22"/>
      <w:szCs w:val="22"/>
      <w:lang w:val="pt-BR" w:eastAsia="pt-BR" w:bidi="ar-SA"/>
    </w:rPr>
  </w:style>
  <w:style w:type="paragraph" w:styleId="Padro" w:customStyle="1">
    <w:name w:val="Padrão"/>
    <w:qFormat/>
    <w:pPr>
      <w:widowControl/>
      <w:suppressAutoHyphens w:val="true"/>
      <w:bidi w:val="0"/>
      <w:spacing w:lineRule="auto" w:line="252" w:before="0" w:after="160"/>
      <w:jc w:val="left"/>
    </w:pPr>
    <w:rPr>
      <w:rFonts w:ascii="Calibri" w:hAnsi="Calibri" w:eastAsia="SimSun" w:cs="Calibri"/>
      <w:color w:val="00000A"/>
      <w:kern w:val="0"/>
      <w:sz w:val="22"/>
      <w:szCs w:val="22"/>
      <w:lang w:val="pt-BR" w:eastAsia="en-US" w:bidi="ar-SA"/>
    </w:rPr>
  </w:style>
  <w:style w:type="paragraph" w:styleId="Ttulododocumento">
    <w:name w:val="Title"/>
    <w:basedOn w:val="Padro"/>
    <w:next w:val="Corpodotext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Notaderodap">
    <w:name w:val="Footnote Text"/>
    <w:basedOn w:val="Padro"/>
    <w:pPr>
      <w:spacing w:lineRule="atLeast" w:line="100" w:before="0" w:after="0"/>
    </w:pPr>
    <w:rPr>
      <w:sz w:val="20"/>
      <w:szCs w:val="20"/>
    </w:rPr>
  </w:style>
  <w:style w:type="paragraph" w:styleId="NormalWeb">
    <w:name w:val="Normal (Web)"/>
    <w:basedOn w:val="Padro"/>
    <w:qFormat/>
    <w:pPr>
      <w:spacing w:lineRule="atLeast" w:line="100" w:before="28" w:after="28"/>
    </w:pPr>
    <w:rPr>
      <w:rFonts w:ascii="Times New Roman" w:hAnsi="Times New Roman" w:eastAsia="Times New Roman" w:cs="Times New Roman"/>
      <w:sz w:val="24"/>
      <w:szCs w:val="24"/>
      <w:lang w:eastAsia="pt-BR"/>
    </w:rPr>
  </w:style>
  <w:style w:type="paragraph" w:styleId="Cabealho">
    <w:name w:val="Header"/>
    <w:basedOn w:val="Normal"/>
    <w:pPr>
      <w:suppressLineNumbers/>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LibreOffice/6.1.3.2$Windows_X86_64 LibreOffice_project/86daf60bf00efa86ad547e59e09d6bb77c699acb</Application>
  <Pages>4</Pages>
  <Words>978</Words>
  <Characters>5384</Characters>
  <CharactersWithSpaces>6344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2019-08-16T14:05:00Z</dcterms:created>
  <dc:creator>Ana Laura Bandeira Lins Lunardelli</dc:creator>
  <dc:description/>
  <dc:language>pt-BR</dc:language>
  <cp:lastModifiedBy/>
  <cp:lastPrinted>2019-08-12T16:56:00Z</cp:lastPrinted>
  <dcterms:modified xsi:type="dcterms:W3CDTF">2019-08-26T07:58:57Z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