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Normal"/>
        <w:rPr/>
      </w:pPr>
      <w:r>
        <w:rPr/>
      </w:r>
    </w:p>
    <w:p xmlns:wp14="http://schemas.microsoft.com/office/word/2010/wordml" w14:paraId="0A37501D" wp14:textId="77777777">
      <w:pPr>
        <w:pStyle w:val="LONormal"/>
        <w:tabs>
          <w:tab w:val="clear" w:pos="709"/>
        </w:tabs>
        <w:spacing w:before="0" w:after="57" w:line="360" w:lineRule="auto"/>
        <w:ind w:left="400" w:hanging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 xmlns:wp14="http://schemas.microsoft.com/office/word/2010/wordml" w14:paraId="5DAB6C7B" wp14:textId="77777777">
      <w:pPr>
        <w:pStyle w:val="LONormal"/>
        <w:tabs>
          <w:tab w:val="clear" w:pos="709"/>
        </w:tabs>
        <w:spacing w:before="0" w:after="57" w:line="360" w:lineRule="auto"/>
        <w:ind w:left="400" w:hanging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 xmlns:wp14="http://schemas.microsoft.com/office/word/2010/wordml" w14:paraId="7AFB8D09" wp14:textId="77777777">
      <w:pPr>
        <w:pStyle w:val="LONormal"/>
        <w:tabs>
          <w:tab w:val="clear" w:pos="709"/>
        </w:tabs>
        <w:spacing w:before="0" w:after="57" w:line="360" w:lineRule="auto"/>
        <w:ind w:left="400" w:hanging="0"/>
        <w:jc w:val="center"/>
        <w:rPr/>
      </w:pPr>
      <w:r>
        <w:rPr>
          <w:rFonts w:eastAsia="Times New Roman" w:cs="Times New Roman"/>
          <w:b/>
          <w:bCs/>
        </w:rPr>
        <w:t>RECOMENDAÇÃO Nº ____/2022</w:t>
      </w:r>
    </w:p>
    <w:p xmlns:wp14="http://schemas.microsoft.com/office/word/2010/wordml" w14:paraId="02EB378F" wp14:textId="77777777">
      <w:pPr>
        <w:pStyle w:val="LONormal"/>
        <w:spacing w:before="0" w:after="40" w:line="240" w:lineRule="auto"/>
        <w:jc w:val="both"/>
        <w:rPr>
          <w:rFonts w:eastAsia="Times New Roman" w:cs="Times New Roman"/>
          <w:b/>
          <w:b/>
          <w:bCs/>
          <w:shd w:val="clear" w:fill="FFFFFF"/>
        </w:rPr>
      </w:pPr>
      <w:r>
        <w:rPr>
          <w:rFonts w:eastAsia="Times New Roman" w:cs="Times New Roman"/>
          <w:b/>
          <w:bCs/>
          <w:shd w:val="clear" w:fill="FFFFFF"/>
        </w:rPr>
      </w:r>
    </w:p>
    <w:p xmlns:wp14="http://schemas.microsoft.com/office/word/2010/wordml" w14:paraId="6A05A809" wp14:textId="77777777">
      <w:pPr>
        <w:pStyle w:val="LONormal"/>
        <w:spacing w:before="0" w:after="40" w:line="240" w:lineRule="auto"/>
        <w:jc w:val="both"/>
        <w:rPr>
          <w:rFonts w:eastAsia="Times New Roman" w:cs="Times New Roman"/>
          <w:b/>
          <w:b/>
          <w:bCs/>
          <w:shd w:val="clear" w:fill="FFFFFF"/>
        </w:rPr>
      </w:pPr>
      <w:r>
        <w:rPr>
          <w:rFonts w:eastAsia="Times New Roman" w:cs="Times New Roman"/>
          <w:b/>
          <w:bCs/>
          <w:shd w:val="clear" w:fill="FFFFFF"/>
        </w:rPr>
      </w:r>
    </w:p>
    <w:p xmlns:wp14="http://schemas.microsoft.com/office/word/2010/wordml" w14:paraId="0F574742" wp14:textId="77777777">
      <w:pPr>
        <w:pStyle w:val="LONormal"/>
        <w:spacing w:before="0" w:after="40" w:line="360" w:lineRule="auto"/>
        <w:jc w:val="both"/>
        <w:rPr/>
      </w:pPr>
      <w:r>
        <w:rPr>
          <w:rStyle w:val="Fontepargpadro"/>
          <w:rFonts w:eastAsia="Times New Roman" w:cs="Times New Roman"/>
          <w:b/>
          <w:bCs/>
          <w:shd w:val="clear" w:fill="FFFFFF"/>
        </w:rPr>
        <w:t>Objeto</w:t>
      </w:r>
      <w:r>
        <w:rPr>
          <w:rStyle w:val="Fontepargpadro"/>
          <w:rFonts w:eastAsia="Times New Roman" w:cs="Times New Roman"/>
          <w:shd w:val="clear" w:fill="FFFFFF"/>
        </w:rPr>
        <w:t>: Recomendar ao município de ______</w:t>
      </w:r>
      <w:r>
        <w:rPr>
          <w:rStyle w:val="Fontepargpadro"/>
          <w:rFonts w:eastAsia="Times New Roman" w:cs="Times New Roman"/>
        </w:rPr>
        <w:t xml:space="preserve">________ e à Secretaria Municipal de Saúde que adotem providências para adequação da Atenção Primária de Saúde (APS) às novas diretrizes de sua organização, nos termos estabelecidos pela </w:t>
      </w:r>
      <w:r>
        <w:rPr>
          <w:rStyle w:val="Fontepargpadro"/>
          <w:rFonts w:eastAsia="Times New Roman" w:cs="Times New Roman"/>
          <w:b/>
          <w:bCs/>
        </w:rPr>
        <w:t>Portaria nº 2.436/17/GM-MS</w:t>
      </w:r>
      <w:r>
        <w:rPr>
          <w:rStyle w:val="Fontepargpadro"/>
          <w:rFonts w:eastAsia="Times New Roman" w:cs="Times New Roman"/>
        </w:rPr>
        <w:t xml:space="preserve">, e ao novo modelo de financiamento estabelecido pela </w:t>
      </w:r>
      <w:r>
        <w:rPr>
          <w:rStyle w:val="Fontepargpadro"/>
          <w:rFonts w:eastAsia="Times New Roman" w:cs="Times New Roman"/>
          <w:b/>
          <w:bCs/>
        </w:rPr>
        <w:t xml:space="preserve">Portaria GM-MS nº 2.979/2019 </w:t>
      </w:r>
      <w:r>
        <w:rPr>
          <w:rStyle w:val="Fontepargpadro"/>
          <w:rFonts w:eastAsia="Times New Roman" w:cs="Times New Roman"/>
          <w:b/>
          <w:bCs/>
        </w:rPr>
        <w:t>e alterações posteriores</w:t>
      </w:r>
      <w:r>
        <w:rPr>
          <w:rStyle w:val="Fontepargpadro"/>
          <w:rFonts w:eastAsia="Times New Roman" w:cs="Times New Roman"/>
        </w:rPr>
        <w:t xml:space="preserve">, que instituiu o </w:t>
      </w:r>
      <w:r>
        <w:rPr>
          <w:rStyle w:val="Fontepargpadro"/>
          <w:rFonts w:eastAsia="Times New Roman" w:cs="Times New Roman"/>
          <w:b/>
          <w:bCs/>
        </w:rPr>
        <w:t>Programa Previne Brasil</w:t>
      </w:r>
      <w:r>
        <w:rPr>
          <w:rStyle w:val="Fontepargpadro"/>
          <w:rFonts w:eastAsia="Times New Roman" w:cs="Times New Roman"/>
        </w:rPr>
        <w:t>, com o repasse de recursos vinculados à materialização da responsabilidade das equipes de saúde da família e atenção primária, pelo cadastro das pessoas, bem como pelo resultado e qualidade das ações de saúde realizadas.</w:t>
      </w:r>
    </w:p>
    <w:p xmlns:wp14="http://schemas.microsoft.com/office/word/2010/wordml" w14:paraId="5A39BBE3" wp14:textId="77777777">
      <w:pPr>
        <w:pStyle w:val="LONormal"/>
        <w:spacing w:before="0" w:after="40" w:line="369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41C8F396" wp14:textId="77777777">
      <w:pPr>
        <w:pStyle w:val="Normal"/>
        <w:widowControl/>
        <w:suppressAutoHyphens w:val="true"/>
        <w:bidi w:val="0"/>
        <w:spacing w:before="0" w:after="0" w:line="360" w:lineRule="auto"/>
        <w:ind w:left="0" w:right="0" w:firstLine="1701"/>
        <w:jc w:val="both"/>
        <w:rPr>
          <w:rStyle w:val="Normaltextrun"/>
          <w:rFonts w:eastAsia="Times New Roman" w:cs="Times New Roman"/>
          <w:b/>
          <w:b/>
          <w:bCs/>
          <w:color w:val="000000"/>
          <w:shd w:val="clear" w:fill="FFFFFF"/>
        </w:rPr>
      </w:pPr>
      <w:r>
        <w:rPr>
          <w:rFonts w:eastAsia="Times New Roman" w:cs="Times New Roman"/>
          <w:b/>
          <w:bCs/>
          <w:color w:val="000000"/>
          <w:shd w:val="clear" w:fill="FFFFFF"/>
        </w:rPr>
      </w:r>
    </w:p>
    <w:p xmlns:wp14="http://schemas.microsoft.com/office/word/2010/wordml" w14:paraId="72A3D3EC" wp14:textId="77777777">
      <w:pPr>
        <w:pStyle w:val="Normal"/>
        <w:widowControl/>
        <w:suppressAutoHyphens w:val="true"/>
        <w:bidi w:val="0"/>
        <w:spacing w:before="0" w:after="0" w:line="360" w:lineRule="auto"/>
        <w:ind w:left="0" w:right="0" w:firstLine="1701"/>
        <w:jc w:val="both"/>
        <w:rPr>
          <w:rStyle w:val="Normaltextrun"/>
          <w:rFonts w:eastAsia="Times New Roman" w:cs="Times New Roman"/>
          <w:b/>
          <w:b/>
          <w:bCs/>
          <w:color w:val="000000"/>
          <w:shd w:val="clear" w:fill="FFFFFF"/>
        </w:rPr>
      </w:pPr>
      <w:r>
        <w:rPr>
          <w:rFonts w:eastAsia="Times New Roman" w:cs="Times New Roman"/>
          <w:b/>
          <w:bCs/>
          <w:color w:val="000000"/>
          <w:shd w:val="clear" w:fill="FFFFFF"/>
        </w:rPr>
      </w:r>
    </w:p>
    <w:p xmlns:wp14="http://schemas.microsoft.com/office/word/2010/wordml" w14:paraId="7D16A471" wp14:textId="77777777">
      <w:pPr>
        <w:pStyle w:val="Normal"/>
        <w:widowControl/>
        <w:suppressAutoHyphens w:val="true"/>
        <w:bidi w:val="0"/>
        <w:spacing w:before="0" w:after="0" w:line="360" w:lineRule="auto"/>
        <w:ind w:left="0" w:right="0" w:firstLine="1701"/>
        <w:jc w:val="both"/>
        <w:rPr/>
      </w:pPr>
      <w:r>
        <w:rPr>
          <w:rStyle w:val="Normaltextrun"/>
          <w:rFonts w:eastAsia="Times New Roman" w:cs="Times New Roman"/>
          <w:b/>
          <w:bCs/>
          <w:color w:val="000000"/>
          <w:shd w:val="clear" w:fill="FFFFFF"/>
        </w:rPr>
        <w:t>O MINISTÉRIO PÚBLICO DO ESTADO DO CEARÁ</w:t>
      </w:r>
      <w:r>
        <w:rPr>
          <w:rStyle w:val="Normaltextrun"/>
          <w:rFonts w:eastAsia="Times New Roman" w:cs="Times New Roman"/>
          <w:color w:val="000000"/>
          <w:shd w:val="clear" w:fill="FFFFFF"/>
        </w:rPr>
        <w:t>, por intermédio do PROMOTOR DE JUSTIÇA titular da Promotoria de Justiça da comarca de _____________, 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xmlns:wp14="http://schemas.microsoft.com/office/word/2010/wordml" w14:paraId="0D231253" wp14:textId="77777777">
      <w:pPr>
        <w:pStyle w:val="Normal"/>
        <w:spacing w:line="360" w:lineRule="auto"/>
        <w:ind w:firstLine="1710"/>
        <w:jc w:val="both"/>
        <w:rPr/>
      </w:pPr>
      <w:r>
        <w:rPr>
          <w:rStyle w:val="Fontepargpadro"/>
          <w:rFonts w:eastAsia="Times New Roman" w:cs="Times New Roman"/>
          <w:b/>
          <w:bCs/>
          <w:color w:val="000000"/>
        </w:rPr>
        <w:t>CONSIDERANDO</w:t>
      </w:r>
      <w:r>
        <w:rPr>
          <w:rStyle w:val="Fontepargpadro"/>
          <w:rFonts w:eastAsia="Times New Roman"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xmlns:wp14="http://schemas.microsoft.com/office/word/2010/wordml" w14:paraId="3D12A7B7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à sua garantia (art. 129, inciso II, da CF/88);</w:t>
      </w:r>
    </w:p>
    <w:p xmlns:wp14="http://schemas.microsoft.com/office/word/2010/wordml" w14:paraId="0A85050E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que o princípio constitucional da universalidade determina que “a saúde é direito de todos e dever do Estado, garantido mediante políticas sociais e econômicas que visem à redução do risco de doença e de outros agravos e ao acesso universal e igualitário às ações e serviços para sua promoção, proteção e recuperação” (art. 196 da CF);</w:t>
      </w:r>
    </w:p>
    <w:p xmlns:wp14="http://schemas.microsoft.com/office/word/2010/wordml" w14:paraId="3F87982D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</w:t>
      </w:r>
    </w:p>
    <w:p xmlns:wp14="http://schemas.microsoft.com/office/word/2010/wordml" w14:paraId="60258891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que o Decreto nº 7.508/2011 (regulamento da Lei </w:t>
      </w:r>
      <w:r>
        <w:rPr>
          <w:rStyle w:val="Fontepargpadro"/>
          <w:rFonts w:eastAsia="Times New Roman" w:cs="Times New Roman"/>
        </w:rPr>
        <w:t>F</w:t>
      </w:r>
      <w:r>
        <w:rPr>
          <w:rStyle w:val="Fontepargpadro"/>
          <w:rFonts w:eastAsia="Times New Roman" w:cs="Times New Roman"/>
        </w:rPr>
        <w:t xml:space="preserve">ederal nº 8.080/90), estabelece que o acesso universal, igualitário e ordenado às ações e serviços de saúde das Redes de Atenção à Saúde se inicia pelas </w:t>
      </w:r>
      <w:r>
        <w:rPr>
          <w:rStyle w:val="Fontepargpadro"/>
          <w:rFonts w:eastAsia="Times New Roman" w:cs="Times New Roman"/>
          <w:b/>
          <w:bCs/>
        </w:rPr>
        <w:t>Portas de Entrada do SUS</w:t>
      </w:r>
      <w:r>
        <w:rPr>
          <w:rStyle w:val="Fontepargpadro"/>
          <w:rFonts w:eastAsia="Times New Roman" w:cs="Times New Roman"/>
        </w:rPr>
        <w:t xml:space="preserve"> e se completa na rede regionalizada e hierarquizada, de acordo com a complexidade do serviço, artigo 8º;</w:t>
      </w:r>
    </w:p>
    <w:p xmlns:wp14="http://schemas.microsoft.com/office/word/2010/wordml" w14:paraId="53FD5520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que uma </w:t>
      </w:r>
      <w:r>
        <w:rPr>
          <w:rStyle w:val="Fontepargpadro"/>
          <w:rFonts w:eastAsia="Times New Roman" w:cs="Times New Roman"/>
          <w:b/>
          <w:bCs/>
        </w:rPr>
        <w:t>Atenção Básica</w:t>
      </w:r>
      <w:r>
        <w:rPr>
          <w:rStyle w:val="Fontepargpadro"/>
          <w:rFonts w:eastAsia="Times New Roman" w:cs="Times New Roman"/>
        </w:rPr>
        <w:t xml:space="preserve"> bem estruturada faz com que se reduzam filas nos prontos-socorros e hospitais, além de se evitar o consumo abusivo de medicamentos e gasto indiscriminado com equipamentos de alta tecnologia;</w:t>
      </w:r>
    </w:p>
    <w:p xmlns:wp14="http://schemas.microsoft.com/office/word/2010/wordml" w14:paraId="2BEBE0A1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</w:t>
      </w:r>
    </w:p>
    <w:p xmlns:wp14="http://schemas.microsoft.com/office/word/2010/wordml" w14:paraId="29851251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que a Atenção Básica é a porta de entrada para os usuários do SUS, conforme cita a Portaria nº 2.436/GM-MS, de 21 de setembro de 2017, que estabelece a revisão das diretrizes da organização da Atenção Básica no âmbito do Sistema Único de Saúde, por meio da </w:t>
      </w:r>
      <w:r>
        <w:rPr>
          <w:rStyle w:val="Fontepargpadro"/>
          <w:rFonts w:eastAsia="Times New Roman" w:cs="Times New Roman"/>
          <w:b/>
          <w:bCs/>
        </w:rPr>
        <w:t>Política Nacional de Atenção Básica (PNAB)</w:t>
      </w:r>
      <w:r>
        <w:rPr>
          <w:rStyle w:val="Fontepargpadro"/>
          <w:rFonts w:eastAsia="Times New Roman" w:cs="Times New Roman"/>
        </w:rPr>
        <w:t>;</w:t>
      </w:r>
    </w:p>
    <w:p xmlns:wp14="http://schemas.microsoft.com/office/word/2010/wordml" w14:paraId="3F979AE4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que os dados do Ministério da Saúde apontam que pelo menos 85% dos problemas de saúde da população brasileira podem ser resolvidos no âmbito da Atenção Básica;</w:t>
      </w:r>
    </w:p>
    <w:p xmlns:wp14="http://schemas.microsoft.com/office/word/2010/wordml" w14:paraId="6617A1EC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CONSIDERANDO</w:t>
      </w:r>
      <w:r>
        <w:rPr>
          <w:rStyle w:val="Fontepargpadro"/>
          <w:rFonts w:eastAsia="Times New Roman" w:cs="Times New Roman"/>
        </w:rPr>
        <w:t xml:space="preserve"> a Portaria nº 2.979/2019/GM-MS que instituiu o </w:t>
      </w:r>
      <w:hyperlink w:tgtFrame="_top" r:id="rId2">
        <w:r>
          <w:rPr>
            <w:rStyle w:val="LinkdaInternet"/>
            <w:rFonts w:eastAsia="Times New Roman" w:cs="Times New Roman"/>
            <w:b/>
            <w:bCs/>
          </w:rPr>
          <w:t>Programa Previne Brasil</w:t>
        </w:r>
      </w:hyperlink>
      <w:r>
        <w:rPr>
          <w:rStyle w:val="Fontepargpadro"/>
          <w:rFonts w:eastAsia="Times New Roman" w:cs="Times New Roman"/>
        </w:rPr>
        <w:t>, estabelecendo novo modelo de financiamento</w:t>
      </w:r>
      <w:r>
        <w:rPr>
          <w:rStyle w:val="Ncoradanotaderodap"/>
          <w:rFonts w:eastAsia="Times New Roman" w:cs="Times New Roman"/>
        </w:rPr>
        <w:footnoteReference w:id="2"/>
      </w:r>
      <w:r>
        <w:rPr>
          <w:rStyle w:val="Fontepargpadro"/>
          <w:rFonts w:eastAsia="Times New Roman" w:cs="Times New Roman"/>
        </w:rPr>
        <w:t xml:space="preserve"> de custeio da Atenção Primária à Saúde (APS) no âmbito do Sistema Único de Saúde, por meio da alteração da Portaria de Consolidação nº 6/GM-MS, de 28 de setembro de 2017;</w:t>
      </w:r>
    </w:p>
    <w:p xmlns:wp14="http://schemas.microsoft.com/office/word/2010/wordml" w:rsidP="6F082CEB" w14:paraId="45A9FC54" wp14:textId="3531515D">
      <w:pPr>
        <w:pStyle w:val="LONormal"/>
        <w:spacing w:line="360" w:lineRule="auto"/>
        <w:ind w:firstLine="1701"/>
        <w:jc w:val="both"/>
        <w:rPr>
          <w:rStyle w:val="Fontepargpadro"/>
          <w:rFonts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="1AFE50CD">
        <w:rPr>
          <w:rStyle w:val="Fontepargpadro"/>
          <w:rFonts w:eastAsia="Times New Roman" w:cs="Times New Roman"/>
          <w:b w:val="1"/>
          <w:bCs w:val="1"/>
        </w:rPr>
        <w:t>CONSIDERANDO</w:t>
      </w:r>
      <w:r w:rsidR="1AFE50CD">
        <w:rPr>
          <w:rStyle w:val="Fontepargpadro"/>
          <w:rFonts w:eastAsia="Times New Roman" w:cs="Times New Roman"/>
        </w:rPr>
        <w:t xml:space="preserve"> </w:t>
      </w:r>
      <w:r w:rsidR="1AFE50CD">
        <w:rPr>
          <w:rStyle w:val="Fontepargpadro"/>
          <w:rFonts w:eastAsia="Times New Roman" w:cs="Times New Roman"/>
          <w:b w:val="0"/>
          <w:bCs w:val="0"/>
          <w:color w:val="000000"/>
          <w:sz w:val="24"/>
          <w:szCs w:val="24"/>
        </w:rPr>
        <w:t xml:space="preserve">a </w:t>
      </w:r>
      <w:r w:rsidRPr="6F082CEB" w:rsidR="1AFE50CD">
        <w:rPr>
          <w:rStyle w:val="Fontepargpadro"/>
          <w:rFonts w:eastAsia="Times New Roman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Portaria GM/MS nº 3.222, de 10 de dezembro de 2019, que dispõe sobre os indicadores do pagamento por desempenho, no âmbito do Programa Previne Brasil, alterado por meio da </w:t>
      </w:r>
      <w:r w:rsidRPr="6F082CEB" w:rsidR="1AFE50CD">
        <w:rPr>
          <w:rStyle w:val="Fontepargpadro"/>
          <w:rFonts w:eastAsia="Times New Roman" w:cs="Times New Roman"/>
          <w:b w:val="1"/>
          <w:bCs w:val="1"/>
          <w:color w:val="000000"/>
          <w:sz w:val="24"/>
          <w:szCs w:val="24"/>
        </w:rPr>
        <w:t xml:space="preserve">Portaria GM/MS nº 102, de 20 de janeiro de 2022, </w:t>
      </w:r>
      <w:r w:rsidR="1AFE50CD">
        <w:rPr>
          <w:rStyle w:val="Fontepargpadro"/>
          <w:rFonts w:eastAsia="Times New Roman" w:cs="Times New Roman"/>
          <w:b w:val="0"/>
          <w:bCs w:val="0"/>
          <w:color w:val="000000"/>
          <w:sz w:val="24"/>
          <w:szCs w:val="24"/>
        </w:rPr>
        <w:t>que estabeleceu as metas para o não de 2022</w:t>
      </w:r>
      <w:r w:rsidRPr="6F082CEB" w:rsidR="1AFE50CD">
        <w:rPr>
          <w:rStyle w:val="Fontepargpadro"/>
          <w:rFonts w:eastAsia="Times New Roman" w:cs="Times New Roman"/>
          <w:b w:val="1"/>
          <w:bCs w:val="1"/>
          <w:color w:val="000000"/>
          <w:sz w:val="24"/>
          <w:szCs w:val="24"/>
        </w:rPr>
        <w:t>;</w:t>
      </w:r>
    </w:p>
    <w:p w:rsidR="1AFE50CD" w:rsidP="1AFE50CD" w:rsidRDefault="1AFE50CD" w14:paraId="3EDA8613" w14:textId="5DE59F71">
      <w:pPr>
        <w:pStyle w:val="LONormal"/>
        <w:spacing w:line="360" w:lineRule="auto"/>
        <w:ind w:firstLine="1701"/>
        <w:jc w:val="both"/>
        <w:rPr>
          <w:rStyle w:val="Fontepargpadro"/>
          <w:rFonts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AFE50CD" w:rsidR="1AFE50CD">
        <w:rPr>
          <w:rStyle w:val="Fontepargpadro"/>
          <w:rFonts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CONSIDERANDO </w:t>
      </w:r>
      <w:r w:rsidRPr="1AFE50CD" w:rsidR="1AFE50CD">
        <w:rPr>
          <w:rStyle w:val="Fontepargpadro"/>
          <w:rFonts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que o Ministério da Saúde (MS) instituiu em 2013 a estratégia e-SUS Atenção Básica (e-SUS AB) com a intenção de reestruturar todas as informações da Atenção Básica (AB). Essa estratégia visa um SUS eletrônico, tendo como premissa contribuir para a gestão da informação produzida no processo de trabalho das equipes de ABS. Busca-se implantar dois sistemas de software: o Coleta de Dados Simplificada (CDS) e o Prontuário Eletrônico do Cidadão (PEC) e também a disponibilidade de acesso à internet de alta performance, computadores e impressoras em todos os postos de trabalho, interconectados com outros pontos da rede assistencial.</w:t>
      </w:r>
    </w:p>
    <w:p xmlns:wp14="http://schemas.microsoft.com/office/word/2010/wordml" w14:paraId="434ED8B4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CONSIDERANDO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que, para o repasse de verbas pelo componente de </w:t>
      </w: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pagamento por desempenho,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foram estabelecidos sete indicadores relativos ao pré-natal, à saúde da mulher, à saúde da criança e às doenças crônicas, cujos dados podem </w:t>
      </w:r>
      <w:r>
        <w:rPr>
          <w:rStyle w:val="Fontepargpadro"/>
          <w:rFonts w:eastAsia="Times New Roman" w:cs="Times New Roman"/>
        </w:rPr>
        <w:t>ser calculados diretamente por meio do Sistema de Informação em Saúde para a Atenção Básica (Sisab), listados a seguir</w:t>
      </w:r>
      <w:r>
        <w:rPr>
          <w:rStyle w:val="Fontepargpadro"/>
          <w:rFonts w:eastAsia="Times New Roman" w:cs="Times New Roman"/>
          <w:color w:val="auto"/>
          <w:lang w:eastAsia="pt-BR"/>
        </w:rPr>
        <w:t>:</w:t>
      </w:r>
    </w:p>
    <w:p xmlns:wp14="http://schemas.microsoft.com/office/word/2010/wordml" w14:paraId="2A3529D6" wp14:textId="77777777">
      <w:pPr>
        <w:pStyle w:val="LONormal"/>
        <w:tabs>
          <w:tab w:val="clear" w:pos="709"/>
        </w:tabs>
        <w:spacing w:line="360" w:lineRule="auto"/>
        <w:ind w:left="993" w:hanging="0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Indicador 1: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Proporção de gestantes com pelo menos 6 (seis) consultas pré-natal realizadas, sendo a 1ª até a 12ª semana de gestação; </w:t>
      </w:r>
    </w:p>
    <w:p xmlns:wp14="http://schemas.microsoft.com/office/word/2010/wordml" w14:paraId="22CDE064" wp14:textId="77777777">
      <w:pPr>
        <w:pStyle w:val="LONormal"/>
        <w:tabs>
          <w:tab w:val="clear" w:pos="709"/>
        </w:tabs>
        <w:spacing w:line="360" w:lineRule="auto"/>
        <w:ind w:left="993" w:hanging="0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Indicador 2: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Proporção de gestantes com realização de exames para sífilis e HIV;</w:t>
      </w:r>
    </w:p>
    <w:p xmlns:wp14="http://schemas.microsoft.com/office/word/2010/wordml" w14:paraId="70A5AE30" wp14:textId="77777777">
      <w:pPr>
        <w:pStyle w:val="LONormal"/>
        <w:tabs>
          <w:tab w:val="clear" w:pos="709"/>
        </w:tabs>
        <w:spacing w:line="360" w:lineRule="auto"/>
        <w:ind w:left="993" w:hanging="0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Indicador 3: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Proporção de gestantes com atendimento odontológico realizado;</w:t>
      </w:r>
    </w:p>
    <w:p xmlns:wp14="http://schemas.microsoft.com/office/word/2010/wordml" w14:paraId="25050E5C" wp14:textId="77777777">
      <w:pPr>
        <w:pStyle w:val="LONormal"/>
        <w:tabs>
          <w:tab w:val="clear" w:pos="709"/>
        </w:tabs>
        <w:spacing w:line="360" w:lineRule="auto"/>
        <w:ind w:left="993" w:hanging="0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Indicador 4: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Proporção de mulheres com coleta de citopatológico na APS;</w:t>
      </w:r>
    </w:p>
    <w:p xmlns:wp14="http://schemas.microsoft.com/office/word/2010/wordml" w14:paraId="2BC994A3" wp14:textId="77777777">
      <w:pPr>
        <w:pStyle w:val="LONormal"/>
        <w:tabs>
          <w:tab w:val="clear" w:pos="709"/>
        </w:tabs>
        <w:spacing w:line="360" w:lineRule="auto"/>
        <w:ind w:left="993" w:hanging="0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Indicador 5: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Proporção de crianças de 1(um) ano de idade vacinadas na APS contra Difeteria, Tétano, Coqueluche, Hepatite B, Infecções causadas por Haemophilus Influenzae tipo b e Poliomielite Inativada; </w:t>
      </w:r>
    </w:p>
    <w:p xmlns:wp14="http://schemas.microsoft.com/office/word/2010/wordml" w14:paraId="499BBE42" wp14:textId="77777777">
      <w:pPr>
        <w:pStyle w:val="LONormal"/>
        <w:tabs>
          <w:tab w:val="clear" w:pos="709"/>
        </w:tabs>
        <w:spacing w:line="360" w:lineRule="auto"/>
        <w:ind w:left="993" w:hanging="0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Indicador 6: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Proporção de pessoas com hipertensão, com consulta e pressão arterial aferida no semestre; </w:t>
      </w:r>
    </w:p>
    <w:p xmlns:wp14="http://schemas.microsoft.com/office/word/2010/wordml" w14:paraId="1FC4D88B" wp14:textId="77777777">
      <w:pPr>
        <w:pStyle w:val="LONormal"/>
        <w:tabs>
          <w:tab w:val="clear" w:pos="709"/>
        </w:tabs>
        <w:spacing w:line="360" w:lineRule="auto"/>
        <w:ind w:left="993" w:hanging="0"/>
        <w:jc w:val="both"/>
        <w:rPr/>
      </w:pPr>
      <w:r>
        <w:rPr>
          <w:rStyle w:val="Fontepargpadro"/>
          <w:rFonts w:eastAsia="Times New Roman" w:cs="Times New Roman"/>
          <w:b/>
          <w:bCs/>
          <w:color w:val="auto"/>
          <w:lang w:eastAsia="pt-BR"/>
        </w:rPr>
        <w:t>Indicador 7: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 Proporção de pessoas com diabetes, com consulta e hemoglobina glicada solicitada no semestre. </w:t>
      </w:r>
    </w:p>
    <w:p xmlns:wp14="http://schemas.microsoft.com/office/word/2010/wordml" w14:paraId="60CB8953" wp14:textId="77777777">
      <w:pPr>
        <w:pStyle w:val="LONormal"/>
        <w:spacing w:line="360" w:lineRule="auto"/>
        <w:ind w:firstLine="1701"/>
        <w:jc w:val="both"/>
      </w:pPr>
      <w:r w:rsidRPr="1AFE50CD" w:rsidR="1AFE50CD">
        <w:rPr>
          <w:rStyle w:val="Fontepargpadro"/>
          <w:rFonts w:eastAsia="Times New Roman" w:cs="Times New Roman"/>
          <w:b w:val="1"/>
          <w:bCs w:val="1"/>
          <w:color w:val="auto"/>
          <w:lang w:eastAsia="pt-BR"/>
        </w:rPr>
        <w:t>CONSIDERANDO</w:t>
      </w:r>
      <w:r w:rsidRPr="1AFE50CD" w:rsidR="1AFE50CD">
        <w:rPr>
          <w:rStyle w:val="Fontepargpadro"/>
          <w:rFonts w:eastAsia="Times New Roman" w:cs="Times New Roman"/>
          <w:color w:val="auto"/>
          <w:lang w:eastAsia="pt-BR"/>
        </w:rPr>
        <w:t xml:space="preserve"> a necessidade de adequação dos municípios aos novos parâmetros definidos pelo Ministério da Saúde para continuidade do regular repasse de verbas para o financiamento da Atenção Primária, sob pena de diminuição do repasse de recursos, o que representará prejuízos no atendimento da população;</w:t>
      </w:r>
    </w:p>
    <w:p xmlns:wp14="http://schemas.microsoft.com/office/word/2010/wordml" w:rsidP="1AFE50CD" w14:paraId="492C74AD" wp14:textId="2B175BD6">
      <w:pPr>
        <w:pStyle w:val="LONormal"/>
        <w:spacing w:line="360" w:lineRule="auto"/>
        <w:ind w:firstLine="1701"/>
        <w:jc w:val="both"/>
        <w:rPr>
          <w:rStyle w:val="Fontepargpadro"/>
          <w:rFonts w:eastAsia="Times New Roman" w:cs="Times New Roman"/>
          <w:color w:val="auto"/>
          <w:lang w:eastAsia="pt-BR"/>
        </w:rPr>
      </w:pPr>
      <w:r w:rsidRPr="1AFE50CD" w:rsidR="1AFE50CD">
        <w:rPr>
          <w:rStyle w:val="Fontepargpadro"/>
          <w:rFonts w:eastAsia="Times New Roman" w:cs="Times New Roman"/>
          <w:b w:val="1"/>
          <w:bCs w:val="1"/>
          <w:color w:val="auto"/>
          <w:lang w:eastAsia="pt-BR"/>
        </w:rPr>
        <w:t>CONSIDERANDO</w:t>
      </w:r>
      <w:r w:rsidRPr="1AFE50CD" w:rsidR="1AFE50CD">
        <w:rPr>
          <w:rStyle w:val="Fontepargpadro"/>
          <w:rFonts w:eastAsia="Times New Roman" w:cs="Times New Roman"/>
          <w:color w:val="auto"/>
          <w:lang w:eastAsia="pt-BR"/>
        </w:rPr>
        <w:t xml:space="preserve"> que o governo do Estado do Ceará, através do decreto estadual 34.580, de 17 de </w:t>
      </w:r>
      <w:proofErr w:type="gramStart"/>
      <w:r w:rsidRPr="1AFE50CD" w:rsidR="1AFE50CD">
        <w:rPr>
          <w:rStyle w:val="Fontepargpadro"/>
          <w:rFonts w:eastAsia="Times New Roman" w:cs="Times New Roman"/>
          <w:color w:val="auto"/>
          <w:lang w:eastAsia="pt-BR"/>
        </w:rPr>
        <w:t>Março</w:t>
      </w:r>
      <w:proofErr w:type="gramEnd"/>
      <w:r w:rsidRPr="1AFE50CD" w:rsidR="1AFE50CD">
        <w:rPr>
          <w:rStyle w:val="Fontepargpadro"/>
          <w:rFonts w:eastAsia="Times New Roman" w:cs="Times New Roman"/>
          <w:color w:val="auto"/>
          <w:lang w:eastAsia="pt-BR"/>
        </w:rPr>
        <w:t xml:space="preserve"> de 2022, adquiriu e distribuiu computadores para todos os municípios, visando equipar as unidades de atenção primária;</w:t>
      </w:r>
    </w:p>
    <w:p xmlns:wp14="http://schemas.microsoft.com/office/word/2010/wordml" w:rsidP="1AFE50CD" w14:paraId="11EDA860" wp14:textId="60BF5F0D">
      <w:pPr>
        <w:pStyle w:val="LONormal"/>
        <w:spacing w:line="360" w:lineRule="auto"/>
        <w:ind w:firstLine="1701"/>
        <w:jc w:val="both"/>
        <w:rPr>
          <w:rStyle w:val="Fontepargpadro"/>
          <w:rFonts w:eastAsia="Times New Roman" w:cs="Times New Roman"/>
          <w:color w:val="auto"/>
          <w:lang w:eastAsia="pt-BR"/>
        </w:rPr>
      </w:pPr>
      <w:r w:rsidRPr="1AFE50CD" w:rsidR="1AFE50CD">
        <w:rPr>
          <w:rStyle w:val="Fontepargpadro"/>
          <w:rFonts w:eastAsia="Times New Roman" w:cs="Times New Roman"/>
          <w:b w:val="1"/>
          <w:bCs w:val="1"/>
          <w:color w:val="auto"/>
          <w:lang w:eastAsia="pt-BR"/>
        </w:rPr>
        <w:t>CONSIDERANDO</w:t>
      </w:r>
      <w:r w:rsidRPr="1AFE50CD" w:rsidR="1AFE50CD">
        <w:rPr>
          <w:rStyle w:val="Fontepargpadro"/>
          <w:rFonts w:eastAsia="Times New Roman" w:cs="Times New Roman"/>
          <w:color w:val="auto"/>
          <w:lang w:eastAsia="pt-BR"/>
        </w:rPr>
        <w:t xml:space="preserve"> que o Procedimento Administrativo n.º ______________ instaurado para acompanhar a____________.</w:t>
      </w:r>
    </w:p>
    <w:p xmlns:wp14="http://schemas.microsoft.com/office/word/2010/wordml" w14:paraId="3221C2FC" wp14:textId="77777777">
      <w:pPr>
        <w:pStyle w:val="LONormal"/>
        <w:spacing w:line="360" w:lineRule="auto"/>
        <w:ind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>RESOLVE RECOMENDAR</w:t>
      </w:r>
      <w:r>
        <w:rPr>
          <w:rStyle w:val="Fontepargpadro"/>
          <w:rFonts w:eastAsia="Times New Roman" w:cs="Times New Roman"/>
        </w:rPr>
        <w:t xml:space="preserve"> a/o Exmo/</w:t>
      </w:r>
      <w:r>
        <w:rPr>
          <w:rStyle w:val="Fontepargpadro"/>
          <w:rFonts w:eastAsia="Times New Roman" w:cs="Times New Roman"/>
        </w:rPr>
        <w:t>a</w:t>
      </w:r>
      <w:r>
        <w:rPr>
          <w:rStyle w:val="Fontepargpadro"/>
          <w:rFonts w:eastAsia="Times New Roman" w:cs="Times New Roman"/>
        </w:rPr>
        <w:t>. Sr/</w:t>
      </w:r>
      <w:r>
        <w:rPr>
          <w:rStyle w:val="Fontepargpadro"/>
          <w:rFonts w:eastAsia="Times New Roman" w:cs="Times New Roman"/>
        </w:rPr>
        <w:t>a</w:t>
      </w:r>
      <w:r>
        <w:rPr>
          <w:rStyle w:val="Fontepargpadro"/>
          <w:rFonts w:eastAsia="Times New Roman" w:cs="Times New Roman"/>
        </w:rPr>
        <w:t>. Prefeito/</w:t>
      </w:r>
      <w:r>
        <w:rPr>
          <w:rStyle w:val="Fontepargpadro"/>
          <w:rFonts w:eastAsia="Times New Roman" w:cs="Times New Roman"/>
        </w:rPr>
        <w:t>a</w:t>
      </w:r>
      <w:r>
        <w:rPr>
          <w:rStyle w:val="Fontepargpadro"/>
          <w:rFonts w:eastAsia="Times New Roman" w:cs="Times New Roman"/>
        </w:rPr>
        <w:t xml:space="preserve"> de ___________ e a/o Sr/</w:t>
      </w:r>
      <w:r>
        <w:rPr>
          <w:rStyle w:val="Fontepargpadro"/>
          <w:rFonts w:eastAsia="Times New Roman" w:cs="Times New Roman"/>
        </w:rPr>
        <w:t>a</w:t>
      </w:r>
      <w:r>
        <w:rPr>
          <w:rStyle w:val="Fontepargpadro"/>
          <w:rFonts w:eastAsia="Times New Roman" w:cs="Times New Roman"/>
        </w:rPr>
        <w:t>. ______________, Secretário/</w:t>
      </w:r>
      <w:r>
        <w:rPr>
          <w:rStyle w:val="Fontepargpadro"/>
          <w:rFonts w:eastAsia="Times New Roman" w:cs="Times New Roman"/>
        </w:rPr>
        <w:t>a</w:t>
      </w:r>
      <w:r>
        <w:rPr>
          <w:rStyle w:val="Fontepargpadro"/>
          <w:rFonts w:eastAsia="Times New Roman" w:cs="Times New Roman"/>
        </w:rPr>
        <w:t xml:space="preserve"> Municipal de Saúde, Órgão Gestor do SUS, bem como a quem venha lhe suceder ou substituir no seu respectivo cargo da saúde pública, a adoção das seguintes providências, no prazo de __________:</w:t>
      </w:r>
    </w:p>
    <w:p xmlns:wp14="http://schemas.microsoft.com/office/word/2010/wordml" w14:paraId="0D0B940D" wp14:textId="77777777">
      <w:pPr>
        <w:pStyle w:val="LONormal"/>
        <w:tabs>
          <w:tab w:val="clear" w:pos="709"/>
        </w:tabs>
        <w:spacing w:line="360" w:lineRule="auto"/>
        <w:ind w:left="709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2BFBB847" wp14:textId="77777777">
      <w:pPr>
        <w:pStyle w:val="LONormal"/>
        <w:numPr>
          <w:ilvl w:val="0"/>
          <w:numId w:val="2"/>
        </w:numPr>
        <w:tabs>
          <w:tab w:val="clear" w:pos="709"/>
        </w:tabs>
        <w:spacing w:line="360" w:lineRule="auto"/>
        <w:ind w:left="709" w:hanging="0"/>
        <w:jc w:val="both"/>
        <w:rPr/>
      </w:pPr>
      <w:r>
        <w:rPr>
          <w:rStyle w:val="Fontepargpadro"/>
          <w:rFonts w:eastAsia="Times New Roman" w:cs="Times New Roman"/>
        </w:rPr>
        <w:t xml:space="preserve">Realização do cadastramento de toda a população atendida pelo SUS municipal junto às Equipes de Saúde da Família e Equipes da Atenção Primária, mantendo atualizadas as informações das pessoas no </w:t>
      </w:r>
      <w:hyperlink w:tgtFrame="_top" r:id="rId3">
        <w:r>
          <w:rPr>
            <w:rStyle w:val="LinkdaInternet"/>
            <w:rFonts w:eastAsia="Times New Roman" w:cs="Times New Roman"/>
          </w:rPr>
          <w:t>Sisab,</w:t>
        </w:r>
      </w:hyperlink>
      <w:r>
        <w:rPr>
          <w:rStyle w:val="Fontepargpadro"/>
          <w:rFonts w:eastAsia="Times New Roman" w:cs="Times New Roman"/>
        </w:rPr>
        <w:t xml:space="preserve"> de forma a se adequar ao critério de </w:t>
      </w:r>
      <w:r>
        <w:rPr>
          <w:rStyle w:val="Fontepargpadro"/>
          <w:rFonts w:eastAsia="Times New Roman" w:cs="Times New Roman"/>
          <w:b/>
          <w:bCs/>
        </w:rPr>
        <w:t xml:space="preserve">capitação ponderada, </w:t>
      </w:r>
      <w:r>
        <w:rPr>
          <w:rStyle w:val="Fontepargpadro"/>
          <w:rFonts w:eastAsia="Times New Roman" w:cs="Times New Roman"/>
        </w:rPr>
        <w:t xml:space="preserve">que determinará o valor da transferência financeira aos municípios, além de proporcionar informações importantes para a análise situacional de saúde, que devem ser utilizadas para a estratificação de risco da população e para o planejamento local das ações e serviços de saúde, utilizando inclusive </w:t>
      </w:r>
      <w:r>
        <w:rPr>
          <w:rStyle w:val="Fontepargpadro"/>
          <w:rFonts w:eastAsia="Times New Roman" w:cs="Times New Roman"/>
          <w:b/>
          <w:bCs/>
          <w:u w:val="single"/>
        </w:rPr>
        <w:t>os dados do Saúde Digital</w:t>
      </w:r>
      <w:r>
        <w:rPr>
          <w:rStyle w:val="Fontepargpadro"/>
          <w:rFonts w:eastAsia="Times New Roman" w:cs="Times New Roman"/>
        </w:rPr>
        <w:t>, em que a população fez o cadastramento para recebimento da vacinação contra Covid-19, sendo indicadas as pessoas idosas, com comorbidades, grávidas, puérperas, entre outros indicadores importantes para acompanhamento da saúde da população;</w:t>
      </w:r>
    </w:p>
    <w:p xmlns:wp14="http://schemas.microsoft.com/office/word/2010/wordml" w14:paraId="0E27B00A" wp14:textId="77777777">
      <w:pPr>
        <w:pStyle w:val="LONormal"/>
        <w:tabs>
          <w:tab w:val="clear" w:pos="709"/>
        </w:tabs>
        <w:spacing w:line="360" w:lineRule="auto"/>
        <w:ind w:left="709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0B247BB9" wp14:textId="77777777">
      <w:pPr>
        <w:pStyle w:val="LONormal"/>
        <w:numPr>
          <w:ilvl w:val="0"/>
          <w:numId w:val="2"/>
        </w:numPr>
        <w:tabs>
          <w:tab w:val="clear" w:pos="709"/>
        </w:tabs>
        <w:spacing w:line="360" w:lineRule="auto"/>
        <w:ind w:left="709" w:hanging="0"/>
        <w:jc w:val="both"/>
        <w:rPr/>
      </w:pPr>
      <w:r>
        <w:rPr>
          <w:rStyle w:val="Fontepargpadro"/>
          <w:rFonts w:eastAsia="Times New Roman" w:cs="Times New Roman"/>
        </w:rPr>
        <w:t xml:space="preserve">Em relação aos </w:t>
      </w:r>
      <w:r>
        <w:rPr>
          <w:rStyle w:val="Fontepargpadro"/>
          <w:rFonts w:eastAsia="Times New Roman" w:cs="Times New Roman"/>
          <w:b/>
          <w:bCs/>
        </w:rPr>
        <w:t>indicadores de desempenho</w:t>
      </w:r>
      <w:r>
        <w:rPr>
          <w:rStyle w:val="Fontepargpadro"/>
          <w:rFonts w:eastAsia="Times New Roman" w:cs="Times New Roman"/>
        </w:rPr>
        <w:t>, que sejam realizadas as ações sugeridas pelo “</w:t>
      </w:r>
      <w:r>
        <w:rPr>
          <w:rStyle w:val="Fontepargpadro"/>
          <w:rFonts w:eastAsia="Times New Roman" w:cs="Times New Roman"/>
          <w:b/>
          <w:bCs/>
        </w:rPr>
        <w:t>Manual instrutivo do financiamento da Atenção Primária à Saúde”</w:t>
      </w:r>
      <w:r>
        <w:rPr>
          <w:rStyle w:val="Ncoradanotaderodap"/>
          <w:rFonts w:eastAsia="Times New Roman" w:cs="Times New Roman"/>
          <w:b/>
          <w:bCs/>
        </w:rPr>
        <w:footnoteReference w:id="3"/>
      </w:r>
      <w:r>
        <w:rPr>
          <w:rStyle w:val="Fontepargpadro"/>
          <w:rFonts w:eastAsia="Times New Roman" w:cs="Times New Roman"/>
        </w:rPr>
        <w:t xml:space="preserve"> disponibilizado pelo Ministério da Saúde, conforme </w:t>
      </w:r>
      <w:r>
        <w:rPr>
          <w:rStyle w:val="Fontepargpadro"/>
          <w:rFonts w:eastAsia="Times New Roman" w:cs="Times New Roman"/>
          <w:b/>
          <w:bCs/>
          <w:u w:val="single"/>
        </w:rPr>
        <w:t>ANEXO</w:t>
      </w:r>
      <w:r>
        <w:rPr>
          <w:rStyle w:val="Fontepargpadro"/>
          <w:rFonts w:eastAsia="Times New Roman" w:cs="Times New Roman"/>
        </w:rPr>
        <w:t xml:space="preserve"> da presente recomendação, e especialmente as seguintes ações:</w:t>
      </w:r>
    </w:p>
    <w:p xmlns:wp14="http://schemas.microsoft.com/office/word/2010/wordml" w14:paraId="0594F102" wp14:textId="77777777">
      <w:pPr>
        <w:pStyle w:val="LONormal"/>
        <w:numPr>
          <w:ilvl w:val="1"/>
          <w:numId w:val="2"/>
        </w:numPr>
        <w:spacing w:line="360" w:lineRule="auto"/>
        <w:jc w:val="both"/>
        <w:rPr/>
      </w:pPr>
      <w:r>
        <w:rPr>
          <w:rStyle w:val="Fontepargpadro"/>
          <w:rFonts w:eastAsia="Times New Roman" w:cs="Times New Roman"/>
          <w:b/>
          <w:bCs/>
        </w:rPr>
        <w:t>Em relação aos indicadores de pré-natal, saúde da mulher e doenças crônicas:</w:t>
      </w:r>
      <w:r>
        <w:rPr>
          <w:rStyle w:val="Fontepargpadro"/>
          <w:rFonts w:eastAsia="Times New Roman" w:cs="Times New Roman"/>
        </w:rPr>
        <w:t xml:space="preserve"> Utilização dos dados do </w:t>
      </w:r>
      <w:r>
        <w:rPr>
          <w:rStyle w:val="Fontepargpadro"/>
          <w:rFonts w:eastAsia="Times New Roman" w:cs="Times New Roman"/>
          <w:b/>
          <w:bCs/>
        </w:rPr>
        <w:t>Saúde Digital</w:t>
      </w:r>
      <w:r>
        <w:rPr>
          <w:rStyle w:val="Fontepargpadro"/>
          <w:rFonts w:eastAsia="Times New Roman" w:cs="Times New Roman"/>
        </w:rPr>
        <w:t xml:space="preserve"> para fins de ampliação da cobertura de atendimento de cada equipe da atenção primária e busca ativa, incluindo acompanhamento dos pacientes com comorbidades, pessoas idosas e mulheres grávidas, com acompanhamento por rota (podendo inclusive ser georreferenciada), com visitas periódicas, ou mesmo ligações telefônicas por parte da equipe;</w:t>
      </w:r>
    </w:p>
    <w:p xmlns:wp14="http://schemas.microsoft.com/office/word/2010/wordml" w14:paraId="3BBAAC07" wp14:textId="77777777">
      <w:pPr>
        <w:pStyle w:val="LONormal"/>
        <w:numPr>
          <w:ilvl w:val="1"/>
          <w:numId w:val="2"/>
        </w:numPr>
        <w:spacing w:line="360" w:lineRule="auto"/>
        <w:jc w:val="both"/>
        <w:rPr/>
      </w:pPr>
      <w:r>
        <w:rPr>
          <w:rStyle w:val="Fontepargpadro"/>
          <w:rFonts w:eastAsia="Times New Roman" w:cs="Times New Roman"/>
          <w:b/>
          <w:bCs/>
        </w:rPr>
        <w:t xml:space="preserve">Em relação ao indicador de saúde da criança: </w:t>
      </w:r>
      <w:r>
        <w:rPr>
          <w:rStyle w:val="Fontepargpadro"/>
          <w:rFonts w:eastAsia="Times New Roman" w:cs="Times New Roman"/>
        </w:rPr>
        <w:t xml:space="preserve">Além do acompanhamento das metas das vacinas de </w:t>
      </w:r>
      <w:r>
        <w:rPr>
          <w:rStyle w:val="Fontepargpadro"/>
          <w:rFonts w:eastAsia="Times New Roman" w:cs="Times New Roman"/>
          <w:color w:val="auto"/>
          <w:lang w:eastAsia="pt-BR"/>
        </w:rPr>
        <w:t xml:space="preserve">Difeteria, Tétano, Coqueluche, Hepatite B, Infecções causadas por Haemophilus Influenzae tipo b e Poliomielite Inativada </w:t>
      </w:r>
      <w:r>
        <w:rPr>
          <w:rStyle w:val="Fontepargpadro"/>
          <w:rFonts w:eastAsia="Times New Roman" w:cs="Times New Roman"/>
        </w:rPr>
        <w:t xml:space="preserve"> (previstas na Portaria do Previne Brasil), realizar mobilização para atingimento das metas em todas as vacinas obrigatórias do PNI para crianças até um ano: </w:t>
      </w:r>
      <w:r>
        <w:rPr>
          <w:rStyle w:val="Fontepargpadro"/>
          <w:rFonts w:eastAsia="Times New Roman" w:cs="Times New Roman"/>
          <w:b/>
          <w:bCs/>
        </w:rPr>
        <w:t xml:space="preserve">BCG; Rotavírus; Pentavalente; Pneumocócica; Poliomielite e Meningocócica C e Tríplice Viral, </w:t>
      </w:r>
      <w:r>
        <w:rPr>
          <w:rStyle w:val="Fontepargpadro"/>
          <w:rFonts w:eastAsia="Times New Roman" w:cs="Times New Roman"/>
        </w:rPr>
        <w:t>realizando campanha de multivacinação</w:t>
      </w:r>
      <w:r>
        <w:rPr>
          <w:rStyle w:val="Ncoradanotaderodap"/>
          <w:rFonts w:eastAsia="Times New Roman" w:cs="Times New Roman"/>
        </w:rPr>
        <w:footnoteReference w:id="4"/>
      </w:r>
      <w:r>
        <w:rPr>
          <w:rStyle w:val="Fontepargpadro"/>
          <w:rFonts w:eastAsia="Times New Roman" w:cs="Times New Roman"/>
        </w:rPr>
        <w:t>, busca ativa e mobilização social, enfatizando a segurança e os benefícios trazidos pela imunização.</w:t>
      </w:r>
    </w:p>
    <w:p xmlns:wp14="http://schemas.microsoft.com/office/word/2010/wordml" w14:paraId="60061E4C" wp14:textId="77777777">
      <w:pPr>
        <w:pStyle w:val="LONormal"/>
        <w:spacing w:line="360" w:lineRule="auto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 xmlns:wp14="http://schemas.microsoft.com/office/word/2010/wordml" w14:paraId="29E6C845" wp14:textId="77777777">
      <w:pPr>
        <w:pStyle w:val="LONormal"/>
        <w:numPr>
          <w:ilvl w:val="0"/>
          <w:numId w:val="2"/>
        </w:numPr>
        <w:tabs>
          <w:tab w:val="clear" w:pos="709"/>
        </w:tabs>
        <w:spacing w:line="360" w:lineRule="auto"/>
        <w:ind w:left="709" w:hanging="0"/>
        <w:jc w:val="both"/>
        <w:rPr/>
      </w:pPr>
      <w:r>
        <w:rPr>
          <w:rStyle w:val="Fontepargpadro"/>
          <w:rFonts w:eastAsia="Times New Roman" w:cs="Times New Roman"/>
        </w:rPr>
        <w:t>Que seja providenciado, no prazo __________, a i</w:t>
      </w:r>
      <w:r>
        <w:rPr>
          <w:rStyle w:val="Fontepargpadro"/>
          <w:rFonts w:eastAsia="Times New Roman" w:cs="Times New Roman"/>
          <w:lang w:eastAsia="pt-BR"/>
        </w:rPr>
        <w:t>nstalação, em local visível nas salas de recepção ou próximo à entrada de todas as Unidades de Saúde (Unidades Básicas de Saúde, Estratégias de Saúde da Família, NASF, UPAs, Hospitais) e outras eventualmente existentes, da identificação e do horário de atendimento da Unidade, bem como do mapa de abrangência, com a cobertura de cada equipe, identificação do Gerente da Atenção Básica no território, relação dos serviços disponíveis e detalhamento das escalas de atendimento de cada equipe informando ao usuário, de forma clara e objetiva, o nome de todos os profissionais de saúde em exercício naquele dia, sua especialidade e o horário de início e de término da jornada de trabalho de cada um deles, em atendimento ao disposto no Capítulo III, item 3, da Portaria GM-MS nº 2.436, de 21 de setembro de 2017.</w:t>
      </w:r>
    </w:p>
    <w:p xmlns:wp14="http://schemas.microsoft.com/office/word/2010/wordml" w14:paraId="44EAFD9C" wp14:textId="77777777">
      <w:pPr>
        <w:pStyle w:val="LONormal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423D5FAA" wp14:textId="77777777">
      <w:pPr>
        <w:pStyle w:val="LONormal"/>
        <w:spacing w:line="360" w:lineRule="auto"/>
        <w:ind w:firstLine="1701"/>
        <w:jc w:val="both"/>
        <w:rPr>
          <w:rFonts w:eastAsia="Times New Roman" w:cs="Times New Roman"/>
        </w:rPr>
      </w:pPr>
      <w:bookmarkStart w:name="_Hlk84842732" w:id="0"/>
      <w:bookmarkEnd w:id="0"/>
      <w:r>
        <w:rPr>
          <w:rFonts w:eastAsia="Times New Roman" w:cs="Times New Roman"/>
        </w:rPr>
        <w:t>Requisite-se, na forma do artigo 27, parágrafo único, inciso IV da Lei nº 8.625/93, ao Prefeito e à Secretaria Municipal de Saúde, no prazo de _____ dias, a ser renovado a cada 15 dias, o encaminhamento das seguintes informações organizadas em tabela, planilha ou outra forma equivalente para comparação e verificação da evolução dos dados:</w:t>
      </w:r>
    </w:p>
    <w:p xmlns:wp14="http://schemas.microsoft.com/office/word/2010/wordml" w14:paraId="43965567" wp14:textId="77777777">
      <w:pPr>
        <w:pStyle w:val="LONormal"/>
        <w:numPr>
          <w:ilvl w:val="0"/>
          <w:numId w:val="3"/>
        </w:numPr>
        <w:tabs>
          <w:tab w:val="clear" w:pos="709"/>
        </w:tabs>
        <w:spacing w:line="360" w:lineRule="auto"/>
        <w:ind w:left="851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Número de Unidades Básicas de Saúde/ Postos do município, com a informação da cobertura populacional de cada unidade e como é feito o acompanhamento das informações de saúde da população atendida, com destaque para;</w:t>
      </w:r>
    </w:p>
    <w:p xmlns:wp14="http://schemas.microsoft.com/office/word/2010/wordml" w14:paraId="6E1F70E5" wp14:textId="77777777">
      <w:pPr>
        <w:pStyle w:val="LONormal"/>
        <w:numPr>
          <w:ilvl w:val="1"/>
          <w:numId w:val="3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Informação dos indicadores gerais e especialmente os indicadores de comorbidades (doenças crônicas, saúde da mulher e pré-natal) da população atendida em cada unidade de atenção primária à saúde;</w:t>
      </w:r>
    </w:p>
    <w:p xmlns:wp14="http://schemas.microsoft.com/office/word/2010/wordml" w14:paraId="2183B124" wp14:textId="77777777">
      <w:pPr>
        <w:pStyle w:val="LONormal"/>
        <w:numPr>
          <w:ilvl w:val="1"/>
          <w:numId w:val="3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Informação dos indicadores da cobertura vacinal infantil dos  imunizantes obrigatórios do PNI por unidade básica de saúde, informando onde há maior/menor cobertura vacinal.</w:t>
      </w:r>
    </w:p>
    <w:p xmlns:wp14="http://schemas.microsoft.com/office/word/2010/wordml" w14:paraId="15F5F153" wp14:textId="77777777">
      <w:pPr>
        <w:pStyle w:val="LONormal"/>
        <w:spacing w:line="360" w:lineRule="auto"/>
        <w:ind w:firstLine="1701"/>
        <w:jc w:val="both"/>
        <w:rPr>
          <w:rFonts w:eastAsia="Times New Roman" w:cs="Times New Roman"/>
        </w:rPr>
      </w:pPr>
      <w:bookmarkStart w:name="_Hlk848427321" w:id="1"/>
      <w:bookmarkEnd w:id="1"/>
      <w:r>
        <w:rPr>
          <w:rFonts w:eastAsia="Times New Roman" w:cs="Times New Roman"/>
        </w:rPr>
        <w:t>Remeta-se a presente RECOMENDAÇÃO ao Prefeito Municipal e ao Secretário de Saúde do município de ____________, e ainda para:</w:t>
      </w:r>
    </w:p>
    <w:p xmlns:wp14="http://schemas.microsoft.com/office/word/2010/wordml" w14:paraId="56EEDB4E" wp14:textId="77777777">
      <w:pPr>
        <w:pStyle w:val="LONormal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as rádios difusoras do Município para conhecimento da RECOMENDAÇÃO, dando a devida publicidade;</w:t>
      </w:r>
    </w:p>
    <w:p xmlns:wp14="http://schemas.microsoft.com/office/word/2010/wordml" w14:paraId="21643F9E" wp14:textId="77777777">
      <w:pPr>
        <w:pStyle w:val="LONormal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 Centro de Apoio Operacional da Saúde – Caosaúde, por meio de sistema informatizado.</w:t>
      </w:r>
    </w:p>
    <w:p xmlns:wp14="http://schemas.microsoft.com/office/word/2010/wordml" w14:paraId="20BDB053" wp14:textId="77777777">
      <w:pPr>
        <w:pStyle w:val="LONormal"/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Publique-se no Diário do MPCE. Registre-se. Arquive-se.</w:t>
      </w:r>
    </w:p>
    <w:p xmlns:wp14="http://schemas.microsoft.com/office/word/2010/wordml" w14:paraId="4B94D5A5" wp14:textId="77777777">
      <w:pPr>
        <w:pStyle w:val="LONormal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34EAFE2D" wp14:textId="77777777">
      <w:pPr>
        <w:pStyle w:val="LONormal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Município, data.</w:t>
      </w:r>
    </w:p>
    <w:p xmlns:wp14="http://schemas.microsoft.com/office/word/2010/wordml" w14:paraId="1FF18AD7" wp14:textId="77777777">
      <w:pPr>
        <w:pStyle w:val="LONormal"/>
        <w:spacing w:line="360" w:lineRule="auto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Promotor de Justiça</w:t>
      </w:r>
    </w:p>
    <w:p xmlns:wp14="http://schemas.microsoft.com/office/word/2010/wordml" w14:paraId="3DEEC669" wp14:textId="77777777">
      <w:pPr>
        <w:pStyle w:val="LONormal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3656B9AB" wp14:textId="77777777">
      <w:pPr>
        <w:pStyle w:val="LONormal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08C5318B" wp14:textId="77777777">
      <w:pPr>
        <w:pStyle w:val="LONormal"/>
        <w:spacing w:line="360" w:lineRule="auto"/>
        <w:jc w:val="center"/>
        <w:rPr/>
      </w:pPr>
      <w:r>
        <w:rPr>
          <w:rStyle w:val="Fontepargpadro"/>
          <w:rFonts w:eastAsia="Times New Roman" w:cs="Times New Roman"/>
          <w:b/>
          <w:bCs/>
          <w:u w:val="single"/>
        </w:rPr>
        <w:t>ANEXO</w:t>
      </w:r>
      <w:r>
        <w:rPr>
          <w:rStyle w:val="Ncoradanotaderodap"/>
          <w:rFonts w:eastAsia="Times New Roman" w:cs="Times New Roman"/>
          <w:b/>
          <w:bCs/>
          <w:u w:val="single"/>
        </w:rPr>
        <w:footnoteReference w:id="5"/>
      </w:r>
    </w:p>
    <w:tbl>
      <w:tblPr>
        <w:tblW w:w="906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6426"/>
      </w:tblGrid>
      <w:tr xmlns:wp14="http://schemas.microsoft.com/office/word/2010/wordml" w14:paraId="64A0E045" wp14:textId="77777777"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19D2C09" wp14:textId="77777777">
            <w:pPr>
              <w:pStyle w:val="LONormal"/>
              <w:widowControl w:val="false"/>
              <w:spacing w:before="0" w:after="120" w:line="240"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INDICADORES</w:t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A34BABA" wp14:textId="77777777">
            <w:pPr>
              <w:pStyle w:val="LONormal"/>
              <w:widowControl w:val="false"/>
              <w:spacing w:before="0" w:after="120" w:line="240"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AÇÕES RECOMENDADAS</w:t>
            </w:r>
          </w:p>
        </w:tc>
      </w:tr>
      <w:tr xmlns:wp14="http://schemas.microsoft.com/office/word/2010/wordml" w14:paraId="4B57975C" wp14:textId="77777777"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80D22A0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PRÉ-NATAL</w:t>
            </w:r>
          </w:p>
          <w:p w14:paraId="2FA7CA2F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Proporção de gestantes com pelo menos seis consultas pré-natal realizadas, sendo a primeira até a 20ª semana de gestação:</w:t>
            </w:r>
          </w:p>
          <w:p w14:paraId="45FB0818" wp14:textId="77777777">
            <w:pPr>
              <w:pStyle w:val="LONormal"/>
              <w:widowControl w:val="false"/>
              <w:spacing w:before="0" w:after="120" w:line="240" w:lineRule="auto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49F31CB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  <w:p w14:paraId="05B019EE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Implantação de protocolo para as ações de pré-natal e monitoramento da conformidade das práticas das eSF e eAP, em relação aos parâmetros de qualidade estabelecidos, inclusive no que diz respeito à humanização desse tipo de atendimento.</w:t>
            </w:r>
          </w:p>
          <w:p w14:paraId="53128261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32EB6E7C" wp14:textId="77777777"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B36DBC0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PRÉ-NATAL</w:t>
            </w:r>
          </w:p>
          <w:p w14:paraId="402FD4AC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Proporção de gestantes com realização de exames para sífilis e HIV e proporção de gestantes com atendimento odontológico realizado:</w:t>
            </w:r>
          </w:p>
          <w:p w14:paraId="62486C05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101652C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  <w:p w14:paraId="56C33760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Garantia de disponibilidade suficiente de insumos, equipamentos, exames e medicamentos necessários ao atendimento de pré-natal, segundo os parâmetros de qualidade vigentes.</w:t>
            </w:r>
          </w:p>
          <w:p w14:paraId="04BDE8FF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Estratégias para facilitação do acesso: busca ativa das gestantes na área de abrangência da equipe, por meio de visitas domiciliares regulares, para cadastramento e início precoce do pré-natal, flexibilização de horários de atendimentos e lembrete de consultas agendadas.</w:t>
            </w:r>
          </w:p>
          <w:p w14:paraId="65B46236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Atualização periódica dos dados referentes ao cadastro de gestantes e ao início do pré-natal.</w:t>
            </w:r>
          </w:p>
          <w:p w14:paraId="285D3AB1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Capacitação de todos os profissionais das equipes, dentro de suas competências específicas, para melhorar o acesso e a qualidade das ações de pré-natal e a alimentação do sistema de informação para a atenção primária.</w:t>
            </w:r>
          </w:p>
          <w:p w14:paraId="230857D4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Monitoramento e avaliação da qualidade e consistência dos dados informados pelas equipes, com vistas ao acompanhamento da evolução de resultados, negociação/ contratualização de metas, definição de prioridades sobre o apoio institucional e a educação permanente, assim como assessoramento à gestão.</w:t>
            </w:r>
          </w:p>
          <w:p w14:paraId="4B99056E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1AE085B3" wp14:textId="77777777"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CE3C2C7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SAÚDE DA MULHER</w:t>
            </w:r>
          </w:p>
          <w:p w14:paraId="07916301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Cobertura de exame citopatológico:</w:t>
            </w:r>
          </w:p>
          <w:p w14:paraId="1299C43A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DDBEF00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  <w:p w14:paraId="2D750384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Capacitação de todos os profissionais das equipes quanto ao controle do câncer do colo do útero.</w:t>
            </w:r>
          </w:p>
          <w:p w14:paraId="62C1A478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Monitoramento e avaliação da qualidade e consistência dos dados informados pelas equipes, com vistas ao acompanhamento da evolução de resultados, negociação/ contratualização de metas, definição de prioridades sobre o apoio institucional e a educação permanente, assim como assessoramento à gestão.</w:t>
            </w:r>
          </w:p>
          <w:p w14:paraId="1C100FC3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Orientação à população quanto à necessidade do exame e realização de busca ativa das mulheres na idade de 25 a 64 anos, para realização do exame citopatológico e do autocuidado.</w:t>
            </w:r>
          </w:p>
          <w:p w14:paraId="0054659F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Estratégias para facilitação do acesso: busca ativa das mulheres na faixa etária na área de abrangência da equipe, e flexibilização de horários da coleta do citopatológico.</w:t>
            </w:r>
          </w:p>
          <w:p w14:paraId="3461D779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6DBCF401" wp14:textId="77777777"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534D2D2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SAÚDE DA CRIANÇA</w:t>
            </w:r>
          </w:p>
          <w:p w14:paraId="35C3CC4E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Cobertura vacinal de Poliomielite inativada e de Pentavalente:</w:t>
            </w:r>
          </w:p>
          <w:p w14:paraId="3CF2D8B6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FB78278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  <w:p w14:paraId="3BDFF064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Busca ativa das crianças menores de 1 ano na área de abrangência da equipe, com pendências na situação vacinal.</w:t>
            </w:r>
          </w:p>
          <w:p w14:paraId="05E4A530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Atualização periódica do cadastro no Sistema de Informação para a Atenção Primária, por meio de visitas domiciliares regulares.</w:t>
            </w:r>
          </w:p>
          <w:p w14:paraId="6CEDFD74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Verificação da situação vacinal na Caderneta de Saúde da Criança em todos os atendimentos, aproveitando oportunidades para atualizar o esquema vacinal e orientar as famílias sobre a sua importância.</w:t>
            </w:r>
          </w:p>
          <w:p w14:paraId="6A87FA17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Monitoramento periódico desse indicador com vistas à programação de ações para melhoria da cobertura vacinal: campanhas, busca ativa, ações educativas, flexibilização de horários de atendimento, mutirões de imunização em áreas de difícil acesso etc.</w:t>
            </w:r>
          </w:p>
          <w:p w14:paraId="5D5694DC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Favorecer o acesso da população às vacinas constantes do calendário, tais como: readequação de horários de atendimento, parcerias com creches, escolas e ambientes que potencializam a mobilização sobre a vacina.</w:t>
            </w:r>
          </w:p>
          <w:p w14:paraId="033C9B12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Realizar a logística de contagem de estoque e movimentação, de forma a não prejudicar a programação e funcionamento da sala de vacina, informando a população, com antecedência, se for necessário fechar a sala em determinado período. As Coordenações Municipais de Atenção Primária e de Vigilância/ Imunização devem estar articuladas para a garantia do fornecimento regular de imunobiológicos e organização do fluxo de distribuição, a fim de evitar e prevenir faltas de vacinas nas unidades.</w:t>
            </w:r>
          </w:p>
          <w:p w14:paraId="0A300AD0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Identificar e dialogar com os usuários, desmistificando qualquer informação falsa (fake news) acerca do assunto e enfatizando a segurança e os benefícios trazidos pela imunização.</w:t>
            </w:r>
          </w:p>
          <w:p w14:paraId="24D48A48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Capacitação de todos os profissionais das equipes quanto à imunização.</w:t>
            </w:r>
          </w:p>
          <w:p w14:paraId="1FC39945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236E3282" wp14:textId="77777777"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8FD6FDD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DOENÇAS CRÔNICAS</w:t>
            </w:r>
          </w:p>
          <w:p w14:paraId="1DE8FB67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Percentual de pessoas hipertensas com pressão arterial aferida em cada semestre:</w:t>
            </w:r>
          </w:p>
          <w:p w14:paraId="0562CB0E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4CE0A41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  <w:p w14:paraId="60CCE51A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Capacitação de todos os profissionais das equipes, dentro de suas competências específicas, para melhorar o diagnóstico e cadastramento de pessoas com hipertensão.</w:t>
            </w:r>
          </w:p>
          <w:p w14:paraId="022E807D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Monitoramento e avaliação da qualidade e consistência dos dados informados pelas equipes, com vistas ao acompanhamento da evolução de resultados, negociação/ contratualização de metas, definição de prioridades sobre o apoio institucional e a educação permanente, assim como assessoramento à gestão.</w:t>
            </w:r>
          </w:p>
          <w:p w14:paraId="76BE620B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Realizar busca ativa de pessoas com fatores de risco para essa doença na comunidade (obesidade, antecedentes familiares, sintomas sugestivos da doença e de suas complicações etc), tanto por meio de campanhas como pelo rastreamento regular da hipertensão.</w:t>
            </w:r>
          </w:p>
          <w:p w14:paraId="5A0F9E6F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Instituir, como rotina de atendimento da equipe de saúde, a avaliação da pressão arterial de todas as pessoas adultas que comparecerem à unidade de saúde para algum atendimento.</w:t>
            </w:r>
          </w:p>
          <w:p w14:paraId="474FCE88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Subsidiar processos de planejamento, gestão e avaliação de políticas e ações preventivas e assistenciais relativas à hipertensão e às doenças associadas, tais como estimativa de demanda de medicamentos e da necessidade de profissionais e serviços especializados para tratamento das doenças causadas pela hipertensão, como doença renal crônica.</w:t>
            </w:r>
          </w:p>
          <w:p w14:paraId="37FED6E3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Realizar busca ativa de pessoas com hipertensão.</w:t>
            </w:r>
          </w:p>
        </w:tc>
      </w:tr>
      <w:tr xmlns:wp14="http://schemas.microsoft.com/office/word/2010/wordml" w14:paraId="6B8E5106" wp14:textId="77777777"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23F919A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DOENÇAS CRÔNICAS</w:t>
            </w:r>
          </w:p>
          <w:p w14:paraId="7D7FEE54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Percentual de diabéticos com solicitação de hemoglobina glicada:</w:t>
            </w:r>
          </w:p>
          <w:p w14:paraId="62EBF3C5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D98A12B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</w:r>
          </w:p>
          <w:p w14:paraId="60DEA410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Capacitação de todos os profissionais das equipes, dentro de suas competências específicas, para melhorar o diagnóstico e cadastramento de pessoas com diabetes.</w:t>
            </w:r>
          </w:p>
          <w:p w14:paraId="128A24F3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Monitoramento e avaliação da qualidade e consistência dos dados informados pelas equipes, com vistas ao acompanhamento da evolução de resultados, negociação/contratualização de metas, definição de prioridades sobre o apoio institucional e a educação permanente, assim como assessoramento à gestão.</w:t>
            </w:r>
          </w:p>
          <w:p w14:paraId="13C97C85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Busca ativa de pessoas com fatores de risco para diabetes mellitus na comunidade (obesidade, antecedentes familiares, sintomas sugestivos etc), por meio de campanhas de rastreamento, informação e/ou levantamentos.</w:t>
            </w:r>
          </w:p>
          <w:p w14:paraId="777C138E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Busca ativa de pessoas com diabetes já cadastradas para atendimento, com solicitação do exame de hemoglobina glicada, com monitoramento do processo: solicitação/coleta e entrega do resultado, com encaminhamentos pertinentes a cada caso.</w:t>
            </w:r>
          </w:p>
          <w:p w14:paraId="15D63742" wp14:textId="77777777">
            <w:pPr>
              <w:pStyle w:val="LONormal"/>
              <w:widowControl w:val="false"/>
              <w:spacing w:before="0" w:after="120" w:line="240" w:lineRule="auto"/>
              <w:jc w:val="both"/>
              <w:rPr/>
            </w:pPr>
            <w:r>
              <w:rPr/>
              <w:t>Oferta do exame hemoglobina glicada pela gestão local, para realização em tempo oportuno e entrega do resultado ao usuário.</w:t>
            </w:r>
          </w:p>
          <w:p w14:paraId="2946DB82" wp14:textId="77777777">
            <w:pPr>
              <w:pStyle w:val="LONormal"/>
              <w:widowControl w:val="false"/>
              <w:spacing w:before="0" w:after="120" w:line="240" w:lineRule="auto"/>
              <w:jc w:val="center"/>
              <w:rPr/>
            </w:pPr>
            <w:r>
              <w:rPr/>
            </w:r>
          </w:p>
        </w:tc>
      </w:tr>
    </w:tbl>
    <w:p xmlns:wp14="http://schemas.microsoft.com/office/word/2010/wordml" w14:paraId="5997CC1D" wp14:textId="77777777">
      <w:pPr>
        <w:pStyle w:val="LONormal"/>
        <w:spacing w:line="360" w:lineRule="auto"/>
        <w:jc w:val="center"/>
        <w:rPr/>
      </w:pPr>
      <w:r>
        <w:rPr/>
      </w:r>
    </w:p>
    <w:p xmlns:wp14="http://schemas.microsoft.com/office/word/2010/wordml" w14:paraId="110FFD37" wp14:textId="77777777">
      <w:pPr>
        <w:pStyle w:val="LONormal"/>
        <w:spacing w:line="360" w:lineRule="auto"/>
        <w:jc w:val="center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1F72F646" wp14:textId="77777777">
    <w:pPr>
      <w:pStyle w:val="Normal"/>
      <w:rPr>
        <w:b/>
        <w:b/>
        <w:sz w:val="18"/>
        <w:szCs w:val="18"/>
      </w:rPr>
    </w:pPr>
    <w:r>
      <w:rPr/>
      <w:drawing>
        <wp:inline xmlns:wp14="http://schemas.microsoft.com/office/word/2010/wordprocessingDrawing" distT="0" distB="0" distL="0" distR="0" wp14:anchorId="70E97DC6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2C7C2D53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type="separator" w:id="0">
    <w:p xmlns:wp14="http://schemas.microsoft.com/office/word/2010/wordml" w14:paraId="08CE6F91" wp14:textId="77777777">
      <w:pPr>
        <w:rPr>
          <w:sz w:val="12"/>
        </w:rPr>
      </w:pPr>
      <w:r>
        <w:separator/>
      </w:r>
    </w:p>
  </w:footnote>
  <w:footnote w:type="continuationSeparator" w:id="1">
    <w:p xmlns:wp14="http://schemas.microsoft.com/office/word/2010/wordml" w14:paraId="61CDCEAD" wp14:textId="77777777">
      <w:pPr>
        <w:rPr>
          <w:sz w:val="12"/>
        </w:rPr>
      </w:pPr>
      <w:r>
        <w:continuationSeparator/>
      </w:r>
    </w:p>
  </w:footnote>
  <w:footnote w:id="2">
    <w:p xmlns:wp14="http://schemas.microsoft.com/office/word/2010/wordml" w14:paraId="0EC15EEA" wp14:textId="77777777">
      <w:pPr>
        <w:pStyle w:val="Textodenotaderodap"/>
        <w:rPr/>
      </w:pPr>
      <w:r>
        <w:rPr>
          <w:rStyle w:val="Caracteresdenotaderodap"/>
        </w:rPr>
        <w:footnoteRef/>
      </w:r>
      <w:r>
        <w:rPr/>
        <w:tab/>
      </w:r>
      <w:r>
        <w:rPr/>
        <w:t xml:space="preserve"> </w:t>
      </w:r>
      <w:r>
        <w:rPr/>
        <w:t xml:space="preserve">Cartilha explicativa sobre o novo modelo de financiamento. Disponível em:  </w:t>
      </w:r>
      <w:hyperlink w:tgtFrame="_top" r:id="rId1">
        <w:r>
          <w:rPr>
            <w:rStyle w:val="LinkdaInternet"/>
          </w:rPr>
          <w:t>http://189.28.128.100/dab/docs/portaldab/publicacoes/manual_financiamento_aps.pdf</w:t>
        </w:r>
      </w:hyperlink>
      <w:r>
        <w:rPr/>
        <w:t>.</w:t>
      </w:r>
    </w:p>
  </w:footnote>
  <w:footnote w:id="3">
    <w:p xmlns:wp14="http://schemas.microsoft.com/office/word/2010/wordml" w14:paraId="044AE469" wp14:textId="77777777">
      <w:pPr>
        <w:pStyle w:val="Textodenotaderodap"/>
        <w:rPr/>
      </w:pPr>
      <w:r>
        <w:rPr>
          <w:rStyle w:val="Caracteresdenotaderodap"/>
        </w:rPr>
        <w:footnoteRef/>
      </w:r>
      <w:r>
        <w:rPr/>
        <w:tab/>
      </w:r>
      <w:r>
        <w:rPr/>
        <w:t xml:space="preserve"> </w:t>
      </w:r>
      <w:r>
        <w:rPr/>
        <w:t xml:space="preserve">Disponível em: </w:t>
      </w:r>
      <w:hyperlink w:tgtFrame="_top" r:id="rId2">
        <w:r>
          <w:rPr>
            <w:rStyle w:val="LinkdaInternet"/>
          </w:rPr>
          <w:t>http://189.28.128.100/dab/docs/portaldab/publicacoes/manual_financiamento_aps.pdf</w:t>
        </w:r>
      </w:hyperlink>
    </w:p>
  </w:footnote>
  <w:footnote w:id="4">
    <w:p xmlns:wp14="http://schemas.microsoft.com/office/word/2010/wordml" w14:paraId="2BC23F73" wp14:textId="77777777">
      <w:pPr>
        <w:pStyle w:val="Textodenotaderodap"/>
        <w:rPr/>
      </w:pPr>
      <w:r>
        <w:rPr>
          <w:rStyle w:val="Caracteresdenotaderodap"/>
        </w:rPr>
        <w:footnoteRef/>
      </w:r>
      <w:r>
        <w:rPr/>
        <w:tab/>
      </w:r>
      <w:r>
        <w:rPr/>
        <w:t xml:space="preserve"> </w:t>
      </w:r>
      <w:hyperlink w:tgtFrame="_top" r:id="rId3">
        <w:r>
          <w:rPr>
            <w:rStyle w:val="LinkdaInternet"/>
          </w:rPr>
          <w:t>https://www.saude.ce.gov.br/2021/09/29/campanha-nacional-multivacinacao-busca-intensificar-cobertura-vacinal-em-criancas-e-adolescentes-com-menos-de-15-anos/</w:t>
        </w:r>
      </w:hyperlink>
    </w:p>
  </w:footnote>
  <w:footnote w:id="5">
    <w:p xmlns:wp14="http://schemas.microsoft.com/office/word/2010/wordml" w14:paraId="751CB647" wp14:textId="77777777">
      <w:pPr>
        <w:pStyle w:val="Textodenotaderodap"/>
        <w:rPr/>
      </w:pPr>
      <w:r>
        <w:rPr>
          <w:rStyle w:val="Caracteresdenotaderodap"/>
        </w:rPr>
        <w:footnoteRef/>
      </w:r>
      <w:r>
        <w:rPr/>
        <w:tab/>
      </w:r>
      <w:r>
        <w:rPr/>
        <w:t xml:space="preserve"> </w:t>
      </w:r>
      <w:r>
        <w:rPr/>
        <w:t xml:space="preserve">Disponível em: </w:t>
      </w:r>
      <w:hyperlink w:tgtFrame="_top" r:id="rId4">
        <w:r>
          <w:rPr>
            <w:rStyle w:val="LinkdaInternet"/>
          </w:rPr>
          <w:t>http://189.28.128.100/dab/docs/portaldab/publicacoes/manual_financiamento_aps.pdf</w:t>
        </w:r>
      </w:hyperlink>
      <w:r>
        <w:rPr/>
        <w:t xml:space="preserve"> pags. 40-41.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6B699379" wp14:textId="77777777">
    <w:pPr>
      <w:pStyle w:val="Normal"/>
      <w:rPr>
        <w:b/>
        <w:b/>
        <w:bCs/>
      </w:rPr>
    </w:pPr>
    <w:r>
      <w:rPr/>
      <w:drawing>
        <wp:inline xmlns:wp14="http://schemas.microsoft.com/office/word/2010/wordprocessingDrawing" distT="0" distB="0" distL="0" distR="0" wp14:anchorId="7E4BC4B9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A11624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 xmlns:wp14="http://schemas.microsoft.com/office/word/2010/wordml" w14:paraId="3FE9F23F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0433501"/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421" w:hanging="360"/>
      </w:pPr>
      <w:rPr>
        <w:rFonts w:eastAsia="SimSun;宋体" w:cs="Mang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81" w:hanging="720"/>
      </w:pPr>
      <w:rPr>
        <w:rFonts w:eastAsia="SimSun;宋体" w:cs="Mang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720"/>
      </w:pPr>
      <w:rPr>
        <w:rFonts w:eastAsia="SimSun;宋体" w:cs="Mang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1" w:hanging="1080"/>
      </w:pPr>
      <w:rPr>
        <w:rFonts w:eastAsia="SimSun;宋体" w:cs="Mang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41" w:hanging="1080"/>
      </w:pPr>
      <w:rPr>
        <w:rFonts w:eastAsia="SimSun;宋体" w:cs="Mang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1" w:hanging="1440"/>
      </w:pPr>
      <w:rPr>
        <w:rFonts w:eastAsia="SimSun;宋体" w:cs="Mang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01" w:hanging="1440"/>
      </w:pPr>
      <w:rPr>
        <w:rFonts w:eastAsia="SimSun;宋体" w:cs="Mang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1" w:hanging="1800"/>
      </w:pPr>
      <w:rPr>
        <w:rFonts w:eastAsia="SimSun;宋体" w:cs="Mangal"/>
      </w:rPr>
    </w:lvl>
    <w:nsid w:val="97b6998"/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42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8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0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1" w:hanging="1800"/>
      </w:pPr>
    </w:lvl>
    <w:nsid w:val="445cd3d5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displayBackgroundShape/>
  <w:embedSystemFonts/>
  <w:trackRevisions w:val="false"/>
  <w:defaultTabStop w:val="709"/>
  <w:autoHyphenation w:val="true"/>
  <w:hyphenationZone w:val="425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FE50CD"/>
    <w:rsid w:val="1AFE50CD"/>
    <w:rsid w:val="679F6547"/>
    <w:rsid w:val="679F6547"/>
    <w:rsid w:val="68DE454C"/>
    <w:rsid w:val="6A7A15AD"/>
    <w:rsid w:val="6C3D54E5"/>
    <w:rsid w:val="6DB1B66F"/>
    <w:rsid w:val="6F082CEB"/>
  </w:rsids>
  <w:themeFontLang w:val="pt-BR" w:eastAsia="ja-JP" w:bidi="ar-SA"/>
  <w14:docId w14:val="174794FF"/>
  <w15:docId w15:val="{4EAEEA87-9CA2-47B4-B399-B38655B10AC6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2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qFormat/>
    <w:rPr>
      <w:color w:val="0000FF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55998"/>
    <w:rPr>
      <w:rFonts w:ascii="Calibri" w:hAnsi="Calibri" w:eastAsia="Calibri" w:cs="Arial" w:asciiTheme="minorHAnsi" w:hAnsiTheme="minorHAnsi" w:eastAsiaTheme="minorHAnsi" w:cstheme="minorBid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2703"/>
    <w:rPr>
      <w:color w:val="605E5C"/>
      <w:shd w:val="clear" w:fill="E1DFDD"/>
    </w:rPr>
  </w:style>
  <w:style w:type="character" w:styleId="Caracteresdenotaderodap">
    <w:name w:val="Caracteres de nota de rodapé"/>
    <w:qFormat/>
    <w:rPr/>
  </w:style>
  <w:style w:type="character" w:styleId="Fontepargpadro">
    <w:name w:val="Fonte parág. padrão"/>
    <w:qFormat/>
    <w:rPr/>
  </w:style>
  <w:style w:type="character" w:styleId="Normaltextrun">
    <w:name w:val="normaltextrun"/>
    <w:basedOn w:val="Fontepargpadro"/>
    <w:qFormat/>
    <w:rPr/>
  </w:style>
  <w:style w:type="character" w:styleId="Linkdainternetvisitado">
    <w:name w:val="Link da internet visitado"/>
    <w:rPr>
      <w:color w:val="954F72"/>
      <w:u w:val="single"/>
    </w:rPr>
  </w:style>
  <w:style w:type="character" w:styleId="Refdenotaderodap">
    <w:name w:val="Ref. de nota de rodapé"/>
    <w:qFormat/>
    <w:rPr>
      <w:vertAlign w:val="superscript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2">
    <w:name w:val="WW_CharLFO2LVL2"/>
    <w:qFormat/>
    <w:rPr>
      <w:rFonts w:eastAsia="SimSun;宋体" w:cs="Mangal"/>
    </w:rPr>
  </w:style>
  <w:style w:type="character" w:styleId="WWCharLFO2LVL3">
    <w:name w:val="WW_CharLFO2LVL3"/>
    <w:qFormat/>
    <w:rPr>
      <w:rFonts w:eastAsia="SimSun;宋体" w:cs="Mangal"/>
    </w:rPr>
  </w:style>
  <w:style w:type="character" w:styleId="WWCharLFO2LVL4">
    <w:name w:val="WW_CharLFO2LVL4"/>
    <w:qFormat/>
    <w:rPr>
      <w:rFonts w:eastAsia="SimSun;宋体" w:cs="Mangal"/>
    </w:rPr>
  </w:style>
  <w:style w:type="character" w:styleId="WWCharLFO2LVL5">
    <w:name w:val="WW_CharLFO2LVL5"/>
    <w:qFormat/>
    <w:rPr>
      <w:rFonts w:eastAsia="SimSun;宋体" w:cs="Mangal"/>
    </w:rPr>
  </w:style>
  <w:style w:type="character" w:styleId="WWCharLFO2LVL6">
    <w:name w:val="WW_CharLFO2LVL6"/>
    <w:qFormat/>
    <w:rPr>
      <w:rFonts w:eastAsia="SimSun;宋体" w:cs="Mangal"/>
    </w:rPr>
  </w:style>
  <w:style w:type="character" w:styleId="WWCharLFO2LVL7">
    <w:name w:val="WW_CharLFO2LVL7"/>
    <w:qFormat/>
    <w:rPr>
      <w:rFonts w:eastAsia="SimSun;宋体" w:cs="Mangal"/>
    </w:rPr>
  </w:style>
  <w:style w:type="character" w:styleId="WWCharLFO2LVL8">
    <w:name w:val="WW_CharLFO2LVL8"/>
    <w:qFormat/>
    <w:rPr>
      <w:rFonts w:eastAsia="SimSun;宋体" w:cs="Mangal"/>
    </w:rPr>
  </w:style>
  <w:style w:type="character" w:styleId="WWCharLFO2LVL9">
    <w:name w:val="WW_CharLFO2LVL9"/>
    <w:qFormat/>
    <w:rPr>
      <w:rFonts w:eastAsia="SimSun;宋体" w:cs="Mangal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55998"/>
    <w:pPr>
      <w:suppressAutoHyphens w:val="false"/>
    </w:pPr>
    <w:rPr>
      <w:rFonts w:ascii="Calibri" w:hAnsi="Calibri" w:eastAsia="Calibri" w:cs="Arial" w:asciiTheme="minorHAnsi" w:hAnsiTheme="minorHAnsi" w:eastAsiaTheme="minorHAnsi" w:cstheme="minorBidi"/>
      <w:kern w:val="0"/>
      <w:sz w:val="20"/>
      <w:szCs w:val="20"/>
      <w:lang w:eastAsia="en-US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 w:line="100" w:lineRule="atLeast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Textodenotaderodap">
    <w:name w:val="Texto de nota de rodapé"/>
    <w:basedOn w:val="LONormal"/>
    <w:qFormat/>
    <w:pPr>
      <w:suppressLineNumbers/>
      <w:tabs>
        <w:tab w:val="clear" w:pos="709"/>
      </w:tabs>
      <w:suppressAutoHyphens w:val="true"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aps.saude.gov.br/gestor/financiamento" TargetMode="External" Id="rId2" /><Relationship Type="http://schemas.openxmlformats.org/officeDocument/2006/relationships/hyperlink" Target="https://sisab.saude.gov.br/" TargetMode="Externa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footnotes" Target="footnotes.xm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1" /><Relationship Type="http://schemas.openxmlformats.org/officeDocument/2006/relationships/customXml" Target="../customXml/item2.xml" Id="rId12" /><Relationship Type="http://schemas.openxmlformats.org/officeDocument/2006/relationships/customXml" Target="../customXml/item3.xml" Id="rId13" /><Relationship Type="http://schemas.openxmlformats.org/officeDocument/2006/relationships/customXml" Target="../customXml/item4.xml" Id="rId14" /><Relationship Type="http://schemas.openxmlformats.org/officeDocument/2006/relationships/customXml" Target="../customXml/item5.xml" Id="rId15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189.28.128.100/dab/docs/portaldab/publicacoes/manual_financiamento_aps.pdf" TargetMode="External"/><Relationship Id="rId2" Type="http://schemas.openxmlformats.org/officeDocument/2006/relationships/hyperlink" Target="http://189.28.128.100/dab/docs/portaldab/publicacoes/manual_financiamento_aps.pdf" TargetMode="External"/><Relationship Id="rId3" Type="http://schemas.openxmlformats.org/officeDocument/2006/relationships/hyperlink" Target="https://www.saude.ce.gov.br/2021/09/29/campanha-nacional-multivacinacao-busca-intensificar-cobertura-vacinal-em-criancas-e-adolescentes-com-menos-de-15-anos/" TargetMode="External"/><Relationship Id="rId4" Type="http://schemas.openxmlformats.org/officeDocument/2006/relationships/hyperlink" Target="http://189.28.128.100/dab/docs/portaldab/publicacoes/manual_financiamento_aps.pd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6" ma:contentTypeDescription="Crie um novo documento." ma:contentTypeScope="" ma:versionID="86642ef00e39832e157865fe1f95e3a9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531378b45db6c7dd0b612b26e5f0dac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056D7-13F1-43F2-8A14-9BD0C6DF2C43}"/>
</file>

<file path=customXml/itemProps4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01394068-6:</dc:title>
  <dc:subject/>
  <dc:creator>rafael.assuncao</dc:creator>
  <dc:description/>
  <cp:lastModifiedBy>Ana Karine Serra Leopércio</cp:lastModifiedBy>
  <cp:revision>8</cp:revision>
  <cp:lastPrinted>2019-01-16T00:34:00Z</cp:lastPrinted>
  <dcterms:created xsi:type="dcterms:W3CDTF">2021-08-30T17:31:00Z</dcterms:created>
  <dcterms:modified xsi:type="dcterms:W3CDTF">2022-08-05T17:10:23Z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Order">
    <vt:r8>544200</vt:r8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display_urn:schemas-microsoft-com:office:office#Author">
    <vt:lpwstr>Roberto Bruno Pereira Silva</vt:lpwstr>
  </property>
  <property fmtid="{D5CDD505-2E9C-101B-9397-08002B2CF9AE}" pid="10" name="display_urn:schemas-microsoft-com:office:office#Editor">
    <vt:lpwstr>Roberto Bruno Pereira Silva</vt:lpwstr>
  </property>
  <property fmtid="{D5CDD505-2E9C-101B-9397-08002B2CF9AE}" pid="11" name="xd_ProgID">
    <vt:lpwstr/>
  </property>
  <property fmtid="{D5CDD505-2E9C-101B-9397-08002B2CF9AE}" pid="12" name="xd_Signature">
    <vt:bool>false</vt:bool>
  </property>
  <property fmtid="{D5CDD505-2E9C-101B-9397-08002B2CF9AE}" pid="13" name="MediaServiceImageTags">
    <vt:lpwstr/>
  </property>
</Properties>
</file>