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notes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 xmlns:wp14="http://schemas.microsoft.com/office/word/2010/wordml" w14:paraId="672A6659" wp14:textId="77777777">
      <w:pPr>
        <w:pStyle w:val="Normal"/>
        <w:rPr/>
      </w:pPr>
      <w:r>
        <w:rPr/>
      </w:r>
    </w:p>
    <w:p xmlns:wp14="http://schemas.microsoft.com/office/word/2010/wordml" w14:paraId="0A37501D" wp14:textId="77777777">
      <w:pPr>
        <w:pStyle w:val="LONormal"/>
        <w:tabs>
          <w:tab w:val="clear" w:pos="709"/>
        </w:tabs>
        <w:spacing w:before="0" w:after="57" w:line="360" w:lineRule="auto"/>
        <w:ind w:left="400" w:hanging="0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 xmlns:wp14="http://schemas.microsoft.com/office/word/2010/wordml" w14:paraId="5DAB6C7B" wp14:textId="77777777">
      <w:pPr>
        <w:pStyle w:val="LONormal"/>
        <w:tabs>
          <w:tab w:val="clear" w:pos="709"/>
        </w:tabs>
        <w:spacing w:before="0" w:after="57" w:line="360" w:lineRule="auto"/>
        <w:ind w:left="400" w:hanging="0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 xmlns:wp14="http://schemas.microsoft.com/office/word/2010/wordml" w14:paraId="7AFB8D09" wp14:textId="77777777">
      <w:pPr>
        <w:pStyle w:val="LONormal"/>
        <w:tabs>
          <w:tab w:val="clear" w:pos="709"/>
        </w:tabs>
        <w:spacing w:before="0" w:after="57" w:line="360" w:lineRule="auto"/>
        <w:ind w:left="400" w:hanging="0"/>
        <w:jc w:val="center"/>
        <w:rPr/>
      </w:pPr>
      <w:r>
        <w:rPr>
          <w:rFonts w:eastAsia="Times New Roman" w:cs="Times New Roman"/>
          <w:b/>
          <w:bCs/>
        </w:rPr>
        <w:t>RECOMENDAÇÃO Nº ____/2022</w:t>
      </w:r>
    </w:p>
    <w:p xmlns:wp14="http://schemas.microsoft.com/office/word/2010/wordml" w14:paraId="02EB378F" wp14:textId="77777777">
      <w:pPr>
        <w:pStyle w:val="LONormal"/>
        <w:spacing w:before="0" w:after="40" w:line="240" w:lineRule="auto"/>
        <w:jc w:val="both"/>
        <w:rPr>
          <w:rFonts w:eastAsia="Times New Roman" w:cs="Times New Roman"/>
          <w:b/>
          <w:b/>
          <w:bCs/>
          <w:shd w:val="clear" w:fill="FFFFFF"/>
        </w:rPr>
      </w:pPr>
      <w:r>
        <w:rPr>
          <w:rFonts w:eastAsia="Times New Roman" w:cs="Times New Roman"/>
          <w:b/>
          <w:bCs/>
          <w:shd w:val="clear" w:fill="FFFFFF"/>
        </w:rPr>
      </w:r>
    </w:p>
    <w:p xmlns:wp14="http://schemas.microsoft.com/office/word/2010/wordml" w14:paraId="6A05A809" wp14:textId="77777777">
      <w:pPr>
        <w:pStyle w:val="LONormal"/>
        <w:spacing w:before="0" w:after="40" w:line="240" w:lineRule="auto"/>
        <w:jc w:val="both"/>
        <w:rPr>
          <w:rFonts w:eastAsia="Times New Roman" w:cs="Times New Roman"/>
          <w:b/>
          <w:b/>
          <w:bCs/>
          <w:shd w:val="clear" w:fill="FFFFFF"/>
        </w:rPr>
      </w:pPr>
      <w:r>
        <w:rPr>
          <w:rFonts w:eastAsia="Times New Roman" w:cs="Times New Roman"/>
          <w:b/>
          <w:bCs/>
          <w:shd w:val="clear" w:fill="FFFFFF"/>
        </w:rPr>
      </w:r>
    </w:p>
    <w:p xmlns:wp14="http://schemas.microsoft.com/office/word/2010/wordml" w14:paraId="0F574742" wp14:textId="77777777">
      <w:pPr>
        <w:pStyle w:val="LONormal"/>
        <w:spacing w:before="0" w:after="40" w:line="360" w:lineRule="auto"/>
        <w:jc w:val="both"/>
        <w:rPr/>
      </w:pPr>
      <w:r>
        <w:rPr>
          <w:rStyle w:val="Fontepargpadro"/>
          <w:rFonts w:eastAsia="Times New Roman" w:cs="Times New Roman"/>
          <w:b/>
          <w:bCs/>
          <w:shd w:val="clear" w:fill="FFFFFF"/>
        </w:rPr>
        <w:t>Objeto</w:t>
      </w:r>
      <w:r>
        <w:rPr>
          <w:rStyle w:val="Fontepargpadro"/>
          <w:rFonts w:eastAsia="Times New Roman" w:cs="Times New Roman"/>
          <w:shd w:val="clear" w:fill="FFFFFF"/>
        </w:rPr>
        <w:t>: Recomendar ao município de ______</w:t>
      </w:r>
      <w:r>
        <w:rPr>
          <w:rStyle w:val="Fontepargpadro"/>
          <w:rFonts w:eastAsia="Times New Roman" w:cs="Times New Roman"/>
        </w:rPr>
        <w:t xml:space="preserve">________ e à Secretaria Municipal de Saúde que adotem providências para adequação da Atenção Primária de Saúde (APS) às novas diretrizes de sua organização, nos termos estabelecidos pela </w:t>
      </w:r>
      <w:r>
        <w:rPr>
          <w:rStyle w:val="Fontepargpadro"/>
          <w:rFonts w:eastAsia="Times New Roman" w:cs="Times New Roman"/>
          <w:b/>
          <w:bCs/>
        </w:rPr>
        <w:t>Portaria nº 2.436/17/GM-MS</w:t>
      </w:r>
      <w:r>
        <w:rPr>
          <w:rStyle w:val="Fontepargpadro"/>
          <w:rFonts w:eastAsia="Times New Roman" w:cs="Times New Roman"/>
        </w:rPr>
        <w:t xml:space="preserve">, e ao novo modelo de financiamento estabelecido pela </w:t>
      </w:r>
      <w:r>
        <w:rPr>
          <w:rStyle w:val="Fontepargpadro"/>
          <w:rFonts w:eastAsia="Times New Roman" w:cs="Times New Roman"/>
          <w:b/>
          <w:bCs/>
        </w:rPr>
        <w:t xml:space="preserve">Portaria GM-MS nº 2.979/2019 </w:t>
      </w:r>
      <w:r>
        <w:rPr>
          <w:rStyle w:val="Fontepargpadro"/>
          <w:rFonts w:eastAsia="Times New Roman" w:cs="Times New Roman"/>
          <w:b/>
          <w:bCs/>
        </w:rPr>
        <w:t>e alterações posteriores</w:t>
      </w:r>
      <w:r>
        <w:rPr>
          <w:rStyle w:val="Fontepargpadro"/>
          <w:rFonts w:eastAsia="Times New Roman" w:cs="Times New Roman"/>
        </w:rPr>
        <w:t xml:space="preserve">, que instituiu o </w:t>
      </w:r>
      <w:r>
        <w:rPr>
          <w:rStyle w:val="Fontepargpadro"/>
          <w:rFonts w:eastAsia="Times New Roman" w:cs="Times New Roman"/>
          <w:b/>
          <w:bCs/>
        </w:rPr>
        <w:t>Programa Previne Brasil</w:t>
      </w:r>
      <w:r>
        <w:rPr>
          <w:rStyle w:val="Fontepargpadro"/>
          <w:rFonts w:eastAsia="Times New Roman" w:cs="Times New Roman"/>
        </w:rPr>
        <w:t>, com o repasse de recursos vinculados à materialização da responsabilidade das equipes de saúde da família e atenção primária, pelo cadastro das pessoas, bem como pelo resultado e qualidade das ações de saúde realizadas.</w:t>
      </w:r>
    </w:p>
    <w:p xmlns:wp14="http://schemas.microsoft.com/office/word/2010/wordml" w14:paraId="5A39BBE3" wp14:textId="77777777">
      <w:pPr>
        <w:pStyle w:val="LONormal"/>
        <w:spacing w:before="0" w:after="40" w:line="369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 xmlns:wp14="http://schemas.microsoft.com/office/word/2010/wordml" w14:paraId="41C8F396" wp14:textId="77777777">
      <w:pPr>
        <w:pStyle w:val="Normal"/>
        <w:widowControl/>
        <w:suppressAutoHyphens w:val="true"/>
        <w:bidi w:val="0"/>
        <w:spacing w:before="0" w:after="0" w:line="360" w:lineRule="auto"/>
        <w:ind w:left="0" w:right="0" w:firstLine="1701"/>
        <w:jc w:val="both"/>
        <w:rPr>
          <w:rStyle w:val="Normaltextrun"/>
          <w:rFonts w:eastAsia="Times New Roman" w:cs="Times New Roman"/>
          <w:b/>
          <w:b/>
          <w:bCs/>
          <w:color w:val="000000"/>
          <w:shd w:val="clear" w:fill="FFFFFF"/>
        </w:rPr>
      </w:pPr>
      <w:r>
        <w:rPr>
          <w:rFonts w:eastAsia="Times New Roman" w:cs="Times New Roman"/>
          <w:b/>
          <w:bCs/>
          <w:color w:val="000000"/>
          <w:shd w:val="clear" w:fill="FFFFFF"/>
        </w:rPr>
      </w:r>
    </w:p>
    <w:p xmlns:wp14="http://schemas.microsoft.com/office/word/2010/wordml" w14:paraId="72A3D3EC" wp14:textId="77777777">
      <w:pPr>
        <w:pStyle w:val="Normal"/>
        <w:widowControl/>
        <w:suppressAutoHyphens w:val="true"/>
        <w:bidi w:val="0"/>
        <w:spacing w:before="0" w:after="0" w:line="360" w:lineRule="auto"/>
        <w:ind w:left="0" w:right="0" w:firstLine="1701"/>
        <w:jc w:val="both"/>
        <w:rPr>
          <w:rStyle w:val="Normaltextrun"/>
          <w:rFonts w:eastAsia="Times New Roman" w:cs="Times New Roman"/>
          <w:b/>
          <w:b/>
          <w:bCs/>
          <w:color w:val="000000"/>
          <w:shd w:val="clear" w:fill="FFFFFF"/>
        </w:rPr>
      </w:pPr>
      <w:r>
        <w:rPr>
          <w:rFonts w:eastAsia="Times New Roman" w:cs="Times New Roman"/>
          <w:b/>
          <w:bCs/>
          <w:color w:val="000000"/>
          <w:shd w:val="clear" w:fill="FFFFFF"/>
        </w:rPr>
      </w:r>
    </w:p>
    <w:p xmlns:wp14="http://schemas.microsoft.com/office/word/2010/wordml" w14:paraId="7D16A471" wp14:textId="77777777">
      <w:pPr>
        <w:pStyle w:val="Normal"/>
        <w:widowControl/>
        <w:suppressAutoHyphens w:val="true"/>
        <w:bidi w:val="0"/>
        <w:spacing w:before="0" w:after="0" w:line="360" w:lineRule="auto"/>
        <w:ind w:left="0" w:right="0" w:firstLine="1701"/>
        <w:jc w:val="both"/>
        <w:rPr/>
      </w:pPr>
      <w:r>
        <w:rPr>
          <w:rStyle w:val="Normaltextrun"/>
          <w:rFonts w:eastAsia="Times New Roman" w:cs="Times New Roman"/>
          <w:b/>
          <w:bCs/>
          <w:color w:val="000000"/>
          <w:shd w:val="clear" w:fill="FFFFFF"/>
        </w:rPr>
        <w:t>O MINISTÉRIO PÚBLICO DO ESTADO DO CEARÁ</w:t>
      </w:r>
      <w:r>
        <w:rPr>
          <w:rStyle w:val="Normaltextrun"/>
          <w:rFonts w:eastAsia="Times New Roman" w:cs="Times New Roman"/>
          <w:color w:val="000000"/>
          <w:shd w:val="clear" w:fill="FFFFFF"/>
        </w:rPr>
        <w:t>, por intermédio do PROMOTOR DE JUSTIÇA titular da Promotoria de Justiça da comarca de _____________, no uso das atribuições que lhe são conferidas pelos artigos 129, incisos III, VI e IX, da Constituição Federal de 1988; artigo 26, inciso I, e alíneas, da Lei Federal nº 8.625/93, e atendendo às determinações constantes da Resolução nº 036/2016 do OECPJ/CE;</w:t>
      </w:r>
    </w:p>
    <w:p xmlns:wp14="http://schemas.microsoft.com/office/word/2010/wordml" w14:paraId="0D231253" wp14:textId="77777777">
      <w:pPr>
        <w:pStyle w:val="Normal"/>
        <w:spacing w:line="360" w:lineRule="auto"/>
        <w:ind w:firstLine="1710"/>
        <w:jc w:val="both"/>
        <w:rPr/>
      </w:pPr>
      <w:r>
        <w:rPr>
          <w:rStyle w:val="Fontepargpadro"/>
          <w:rFonts w:eastAsia="Times New Roman" w:cs="Times New Roman"/>
          <w:b/>
          <w:bCs/>
          <w:color w:val="000000"/>
        </w:rPr>
        <w:t>CONSIDERANDO</w:t>
      </w:r>
      <w:r>
        <w:rPr>
          <w:rStyle w:val="Fontepargpadro"/>
          <w:rFonts w:eastAsia="Times New Roman" w:cs="Times New Roman"/>
          <w:color w:val="000000"/>
        </w:rPr>
        <w:t xml:space="preserve"> que, a teor do art. 27, parágrafo único, inciso IV, da Lei Federal 8.625/93, Lei Orgânica Nacional do Ministério Público (LONMP), cabe ao Ministério Público exercer a defesa dos direitos assegurados nas Constituições Federal e Estadual, sempre que se cuidar de garantir-lhes o respeito pelos poderes estaduais ou municipais e, no exercício dessas atribuições, promover Ações Civis Públicas, Inquéritos Civis, Procedimentos Administrativos, Recomendações dirigidas a órgãos e entidades, requisitando ao destinatário sua divulgação adequada e imediata, assim como resposta por escrito;</w:t>
      </w:r>
    </w:p>
    <w:p xmlns:wp14="http://schemas.microsoft.com/office/word/2010/wordml" w14:paraId="3D12A7B7" wp14:textId="77777777">
      <w:pPr>
        <w:pStyle w:val="LONormal"/>
        <w:spacing w:line="360" w:lineRule="auto"/>
        <w:ind w:firstLine="1701"/>
        <w:jc w:val="both"/>
        <w:rPr/>
      </w:pPr>
      <w:r>
        <w:rPr>
          <w:rStyle w:val="Fontepargpadro"/>
          <w:rFonts w:eastAsia="Times New Roman" w:cs="Times New Roman"/>
          <w:b/>
          <w:bCs/>
        </w:rPr>
        <w:t>CONSIDERANDO</w:t>
      </w:r>
      <w:r>
        <w:rPr>
          <w:rStyle w:val="Fontepargpadro"/>
          <w:rFonts w:eastAsia="Times New Roman" w:cs="Times New Roman"/>
        </w:rPr>
        <w:t xml:space="preserve"> que é função institucional do Ministério Público zelar pelo efetivo respeito dos serviços de relevância pública aos direitos assegurados na Constituição Federal, em especial, aos relativos à saúde (art. 197, da CF/88), promovendo todas as medidas necessárias à sua garantia (art. 129, inciso II, da CF/88);</w:t>
      </w:r>
    </w:p>
    <w:p xmlns:wp14="http://schemas.microsoft.com/office/word/2010/wordml" w14:paraId="0A85050E" wp14:textId="77777777">
      <w:pPr>
        <w:pStyle w:val="LONormal"/>
        <w:spacing w:line="360" w:lineRule="auto"/>
        <w:ind w:firstLine="1701"/>
        <w:jc w:val="both"/>
        <w:rPr/>
      </w:pPr>
      <w:r>
        <w:rPr>
          <w:rStyle w:val="Fontepargpadro"/>
          <w:rFonts w:eastAsia="Times New Roman" w:cs="Times New Roman"/>
          <w:b/>
          <w:bCs/>
        </w:rPr>
        <w:t>CONSIDERANDO</w:t>
      </w:r>
      <w:r>
        <w:rPr>
          <w:rStyle w:val="Fontepargpadro"/>
          <w:rFonts w:eastAsia="Times New Roman" w:cs="Times New Roman"/>
        </w:rPr>
        <w:t xml:space="preserve"> que o princípio constitucional da universalidade determina que “a saúde é direito de todos e dever do Estado, garantido mediante políticas sociais e econômicas que visem à redução do risco de doença e de outros agravos e ao acesso universal e igualitário às ações e serviços para sua promoção, proteção e recuperação” (art. 196 da CF);</w:t>
      </w:r>
    </w:p>
    <w:p xmlns:wp14="http://schemas.microsoft.com/office/word/2010/wordml" w14:paraId="3F87982D" wp14:textId="77777777">
      <w:pPr>
        <w:pStyle w:val="LONormal"/>
        <w:spacing w:line="360" w:lineRule="auto"/>
        <w:ind w:firstLine="1701"/>
        <w:jc w:val="both"/>
        <w:rPr/>
      </w:pPr>
      <w:r>
        <w:rPr>
          <w:rStyle w:val="Fontepargpadro"/>
          <w:rFonts w:eastAsia="Times New Roman" w:cs="Times New Roman"/>
          <w:b/>
          <w:bCs/>
        </w:rPr>
        <w:t>CONSIDERANDO</w:t>
      </w:r>
      <w:r>
        <w:rPr>
          <w:rStyle w:val="Fontepargpadro"/>
          <w:rFonts w:eastAsia="Times New Roman" w:cs="Times New Roman"/>
        </w:rPr>
        <w:t xml:space="preserve"> os objetivos do Sistema Único de Saúde (SUS), assim definidos na Lei federal nº 8.080, de 19 de setembro de 1990, denominada Lei Orgânica da Saúde (LOS), de que a assistência às pessoas deve ser dispensada por intermédio de ações de promoção, proteção e recuperação da saúde, com a realização integrada das ações assistenciais e das atividades preventivas;</w:t>
      </w:r>
    </w:p>
    <w:p xmlns:wp14="http://schemas.microsoft.com/office/word/2010/wordml" w14:paraId="60258891" wp14:textId="77777777">
      <w:pPr>
        <w:pStyle w:val="LONormal"/>
        <w:spacing w:line="360" w:lineRule="auto"/>
        <w:ind w:firstLine="1701"/>
        <w:jc w:val="both"/>
        <w:rPr/>
      </w:pPr>
      <w:r>
        <w:rPr>
          <w:rStyle w:val="Fontepargpadro"/>
          <w:rFonts w:eastAsia="Times New Roman" w:cs="Times New Roman"/>
          <w:b/>
          <w:bCs/>
        </w:rPr>
        <w:t>CONSIDERANDO</w:t>
      </w:r>
      <w:r>
        <w:rPr>
          <w:rStyle w:val="Fontepargpadro"/>
          <w:rFonts w:eastAsia="Times New Roman" w:cs="Times New Roman"/>
        </w:rPr>
        <w:t xml:space="preserve"> que o Decreto nº 7.508/2011 (regulamento da Lei </w:t>
      </w:r>
      <w:r>
        <w:rPr>
          <w:rStyle w:val="Fontepargpadro"/>
          <w:rFonts w:eastAsia="Times New Roman" w:cs="Times New Roman"/>
        </w:rPr>
        <w:t>F</w:t>
      </w:r>
      <w:r>
        <w:rPr>
          <w:rStyle w:val="Fontepargpadro"/>
          <w:rFonts w:eastAsia="Times New Roman" w:cs="Times New Roman"/>
        </w:rPr>
        <w:t xml:space="preserve">ederal nº 8.080/90), estabelece que o acesso universal, igualitário e ordenado às ações e serviços de saúde das Redes de Atenção à Saúde se inicia pelas </w:t>
      </w:r>
      <w:r>
        <w:rPr>
          <w:rStyle w:val="Fontepargpadro"/>
          <w:rFonts w:eastAsia="Times New Roman" w:cs="Times New Roman"/>
          <w:b/>
          <w:bCs/>
        </w:rPr>
        <w:t>Portas de Entrada do SUS</w:t>
      </w:r>
      <w:r>
        <w:rPr>
          <w:rStyle w:val="Fontepargpadro"/>
          <w:rFonts w:eastAsia="Times New Roman" w:cs="Times New Roman"/>
        </w:rPr>
        <w:t xml:space="preserve"> e se completa na rede regionalizada e hierarquizada, de acordo com a complexidade do serviço, artigo 8º;</w:t>
      </w:r>
    </w:p>
    <w:p xmlns:wp14="http://schemas.microsoft.com/office/word/2010/wordml" w14:paraId="53FD5520" wp14:textId="77777777">
      <w:pPr>
        <w:pStyle w:val="LONormal"/>
        <w:spacing w:line="360" w:lineRule="auto"/>
        <w:ind w:firstLine="1701"/>
        <w:jc w:val="both"/>
        <w:rPr/>
      </w:pPr>
      <w:r>
        <w:rPr>
          <w:rStyle w:val="Fontepargpadro"/>
          <w:rFonts w:eastAsia="Times New Roman" w:cs="Times New Roman"/>
          <w:b/>
          <w:bCs/>
        </w:rPr>
        <w:t>CONSIDERANDO</w:t>
      </w:r>
      <w:r>
        <w:rPr>
          <w:rStyle w:val="Fontepargpadro"/>
          <w:rFonts w:eastAsia="Times New Roman" w:cs="Times New Roman"/>
        </w:rPr>
        <w:t xml:space="preserve"> que uma </w:t>
      </w:r>
      <w:r>
        <w:rPr>
          <w:rStyle w:val="Fontepargpadro"/>
          <w:rFonts w:eastAsia="Times New Roman" w:cs="Times New Roman"/>
          <w:b/>
          <w:bCs/>
        </w:rPr>
        <w:t>Atenção Básica</w:t>
      </w:r>
      <w:r>
        <w:rPr>
          <w:rStyle w:val="Fontepargpadro"/>
          <w:rFonts w:eastAsia="Times New Roman" w:cs="Times New Roman"/>
        </w:rPr>
        <w:t xml:space="preserve"> bem estruturada faz com que se reduzam filas nos prontos-socorros e hospitais, além de se evitar o consumo abusivo de medicamentos e gasto indiscriminado com equipamentos de alta tecnologia;</w:t>
      </w:r>
    </w:p>
    <w:p xmlns:wp14="http://schemas.microsoft.com/office/word/2010/wordml" w14:paraId="2BEBE0A1" wp14:textId="77777777">
      <w:pPr>
        <w:pStyle w:val="LONormal"/>
        <w:spacing w:line="360" w:lineRule="auto"/>
        <w:ind w:firstLine="1701"/>
        <w:jc w:val="both"/>
        <w:rPr/>
      </w:pPr>
      <w:r>
        <w:rPr>
          <w:rStyle w:val="Fontepargpadro"/>
          <w:rFonts w:eastAsia="Times New Roman" w:cs="Times New Roman"/>
          <w:b/>
          <w:bCs/>
        </w:rPr>
        <w:t>CONSIDERANDO</w:t>
      </w:r>
      <w:r>
        <w:rPr>
          <w:rStyle w:val="Fontepargpadro"/>
          <w:rFonts w:eastAsia="Times New Roman" w:cs="Times New Roman"/>
        </w:rPr>
        <w:t xml:space="preserve"> que “compete aos Municípios prestar, com a cooperação técnica e financeira da União e do Estado, serviços de atendimento à saúde da população” (art. 30, VII, da CF) e que a execução dos serviços públicos de atendimento à saúde é realizada prioritariamente pelo Município, nos termos da Lei nº 8.080/90 (art. 18, I);</w:t>
      </w:r>
    </w:p>
    <w:p xmlns:wp14="http://schemas.microsoft.com/office/word/2010/wordml" w14:paraId="29851251" wp14:textId="77777777">
      <w:pPr>
        <w:pStyle w:val="LONormal"/>
        <w:spacing w:line="360" w:lineRule="auto"/>
        <w:ind w:firstLine="1701"/>
        <w:jc w:val="both"/>
        <w:rPr/>
      </w:pPr>
      <w:r>
        <w:rPr>
          <w:rStyle w:val="Fontepargpadro"/>
          <w:rFonts w:eastAsia="Times New Roman" w:cs="Times New Roman"/>
          <w:b/>
          <w:bCs/>
        </w:rPr>
        <w:t>CONSIDERANDO</w:t>
      </w:r>
      <w:r>
        <w:rPr>
          <w:rStyle w:val="Fontepargpadro"/>
          <w:rFonts w:eastAsia="Times New Roman" w:cs="Times New Roman"/>
        </w:rPr>
        <w:t xml:space="preserve"> que a Atenção Básica é a porta de entrada para os usuários do SUS, conforme cita a Portaria nº 2.436/GM-MS, de 21 de setembro de 2017, que estabelece a revisão das diretrizes da organização da Atenção Básica no âmbito do Sistema Único de Saúde, por meio da </w:t>
      </w:r>
      <w:r>
        <w:rPr>
          <w:rStyle w:val="Fontepargpadro"/>
          <w:rFonts w:eastAsia="Times New Roman" w:cs="Times New Roman"/>
          <w:b/>
          <w:bCs/>
        </w:rPr>
        <w:t>Política Nacional de Atenção Básica (PNAB)</w:t>
      </w:r>
      <w:r>
        <w:rPr>
          <w:rStyle w:val="Fontepargpadro"/>
          <w:rFonts w:eastAsia="Times New Roman" w:cs="Times New Roman"/>
        </w:rPr>
        <w:t>;</w:t>
      </w:r>
    </w:p>
    <w:p xmlns:wp14="http://schemas.microsoft.com/office/word/2010/wordml" w14:paraId="3F979AE4" wp14:textId="77777777">
      <w:pPr>
        <w:pStyle w:val="LONormal"/>
        <w:spacing w:line="360" w:lineRule="auto"/>
        <w:ind w:firstLine="1701"/>
        <w:jc w:val="both"/>
        <w:rPr/>
      </w:pPr>
      <w:r>
        <w:rPr>
          <w:rStyle w:val="Fontepargpadro"/>
          <w:rFonts w:eastAsia="Times New Roman" w:cs="Times New Roman"/>
          <w:b/>
          <w:bCs/>
        </w:rPr>
        <w:t>CONSIDERANDO</w:t>
      </w:r>
      <w:r>
        <w:rPr>
          <w:rStyle w:val="Fontepargpadro"/>
          <w:rFonts w:eastAsia="Times New Roman" w:cs="Times New Roman"/>
        </w:rPr>
        <w:t xml:space="preserve"> que os dados do Ministério da Saúde apontam que pelo menos 85% dos problemas de saúde da população brasileira podem ser resolvidos no âmbito da Atenção Básica;</w:t>
      </w:r>
    </w:p>
    <w:p xmlns:wp14="http://schemas.microsoft.com/office/word/2010/wordml" w14:paraId="6617A1EC" wp14:textId="77777777">
      <w:pPr>
        <w:pStyle w:val="LONormal"/>
        <w:spacing w:line="360" w:lineRule="auto"/>
        <w:ind w:firstLine="1701"/>
        <w:jc w:val="both"/>
        <w:rPr/>
      </w:pPr>
      <w:r>
        <w:rPr>
          <w:rStyle w:val="Fontepargpadro"/>
          <w:rFonts w:eastAsia="Times New Roman" w:cs="Times New Roman"/>
          <w:b/>
          <w:bCs/>
        </w:rPr>
        <w:t>CONSIDERANDO</w:t>
      </w:r>
      <w:r>
        <w:rPr>
          <w:rStyle w:val="Fontepargpadro"/>
          <w:rFonts w:eastAsia="Times New Roman" w:cs="Times New Roman"/>
        </w:rPr>
        <w:t xml:space="preserve"> a Portaria nº 2.979/2019/GM-MS que instituiu o </w:t>
      </w:r>
      <w:hyperlink w:tgtFrame="_top" r:id="rId2">
        <w:r>
          <w:rPr>
            <w:rStyle w:val="LinkdaInternet"/>
            <w:rFonts w:eastAsia="Times New Roman" w:cs="Times New Roman"/>
            <w:b/>
            <w:bCs/>
          </w:rPr>
          <w:t>Programa Previne Brasil</w:t>
        </w:r>
      </w:hyperlink>
      <w:r>
        <w:rPr>
          <w:rStyle w:val="Fontepargpadro"/>
          <w:rFonts w:eastAsia="Times New Roman" w:cs="Times New Roman"/>
        </w:rPr>
        <w:t>, estabelecendo novo modelo de financiamento</w:t>
      </w:r>
      <w:r>
        <w:rPr>
          <w:rStyle w:val="Ncoradanotaderodap"/>
          <w:rFonts w:eastAsia="Times New Roman" w:cs="Times New Roman"/>
        </w:rPr>
        <w:footnoteReference w:id="2"/>
      </w:r>
      <w:r>
        <w:rPr>
          <w:rStyle w:val="Fontepargpadro"/>
          <w:rFonts w:eastAsia="Times New Roman" w:cs="Times New Roman"/>
        </w:rPr>
        <w:t xml:space="preserve"> de custeio da Atenção Primária à Saúde (APS) no âmbito do Sistema Único de Saúde, por meio da alteração da Portaria de Consolidação nº 6/GM-MS, de 28 de setembro de 2017;</w:t>
      </w:r>
    </w:p>
    <w:p xmlns:wp14="http://schemas.microsoft.com/office/word/2010/wordml" w:rsidP="6F082CEB" w14:paraId="45A9FC54" wp14:textId="3531515D">
      <w:pPr>
        <w:pStyle w:val="LONormal"/>
        <w:spacing w:line="360" w:lineRule="auto"/>
        <w:ind w:firstLine="1701"/>
        <w:jc w:val="both"/>
        <w:rPr>
          <w:rStyle w:val="Fontepargpadro"/>
          <w:rFonts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="1AFE50CD">
        <w:rPr>
          <w:rStyle w:val="Fontepargpadro"/>
          <w:rFonts w:eastAsia="Times New Roman" w:cs="Times New Roman"/>
          <w:b w:val="1"/>
          <w:bCs w:val="1"/>
        </w:rPr>
        <w:t>CONSIDERANDO</w:t>
      </w:r>
      <w:r w:rsidR="1AFE50CD">
        <w:rPr>
          <w:rStyle w:val="Fontepargpadro"/>
          <w:rFonts w:eastAsia="Times New Roman" w:cs="Times New Roman"/>
        </w:rPr>
        <w:t xml:space="preserve"> </w:t>
      </w:r>
      <w:r w:rsidR="1AFE50CD">
        <w:rPr>
          <w:rStyle w:val="Fontepargpadro"/>
          <w:rFonts w:eastAsia="Times New Roman" w:cs="Times New Roman"/>
          <w:b w:val="0"/>
          <w:bCs w:val="0"/>
          <w:color w:val="000000"/>
          <w:sz w:val="24"/>
          <w:szCs w:val="24"/>
        </w:rPr>
        <w:t xml:space="preserve">a </w:t>
      </w:r>
      <w:r w:rsidRPr="6F082CEB" w:rsidR="1AFE50CD">
        <w:rPr>
          <w:rStyle w:val="Fontepargpadro"/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</w:rPr>
        <w:t xml:space="preserve">Portaria GM/MS nº 3.222, de 10 de dezembro de 2019, que dispõe sobre os indicadores do pagamento por desempenho, no âmbito do Programa Previne Brasil, alterado por meio da </w:t>
      </w:r>
      <w:r w:rsidRPr="6F082CEB" w:rsidR="1AFE50CD">
        <w:rPr>
          <w:rStyle w:val="Fontepargpadro"/>
          <w:rFonts w:eastAsia="Times New Roman" w:cs="Times New Roman"/>
          <w:b w:val="1"/>
          <w:bCs w:val="1"/>
          <w:color w:val="000000"/>
          <w:sz w:val="24"/>
          <w:szCs w:val="24"/>
        </w:rPr>
        <w:t xml:space="preserve">Portaria GM/MS nº 102, de 20 de janeiro de 2022, </w:t>
      </w:r>
      <w:r w:rsidR="1AFE50CD">
        <w:rPr>
          <w:rStyle w:val="Fontepargpadro"/>
          <w:rFonts w:eastAsia="Times New Roman" w:cs="Times New Roman"/>
          <w:b w:val="0"/>
          <w:bCs w:val="0"/>
          <w:color w:val="000000"/>
          <w:sz w:val="24"/>
          <w:szCs w:val="24"/>
        </w:rPr>
        <w:t>que estabeleceu as metas para o não de 2022</w:t>
      </w:r>
      <w:r w:rsidRPr="6F082CEB" w:rsidR="1AFE50CD">
        <w:rPr>
          <w:rStyle w:val="Fontepargpadro"/>
          <w:rFonts w:eastAsia="Times New Roman" w:cs="Times New Roman"/>
          <w:b w:val="1"/>
          <w:bCs w:val="1"/>
          <w:color w:val="000000"/>
          <w:sz w:val="24"/>
          <w:szCs w:val="24"/>
        </w:rPr>
        <w:t>;</w:t>
      </w:r>
    </w:p>
    <w:p w:rsidR="1AFE50CD" w:rsidP="1AFE50CD" w:rsidRDefault="1AFE50CD" w14:paraId="3EDA8613" w14:textId="5DE59F71">
      <w:pPr>
        <w:pStyle w:val="LONormal"/>
        <w:spacing w:line="360" w:lineRule="auto"/>
        <w:ind w:firstLine="1701"/>
        <w:jc w:val="both"/>
        <w:rPr>
          <w:rStyle w:val="Fontepargpadro"/>
          <w:rFonts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1AFE50CD" w:rsidR="1AFE50CD">
        <w:rPr>
          <w:rStyle w:val="Fontepargpadro"/>
          <w:rFonts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CONSIDERANDO </w:t>
      </w:r>
      <w:r w:rsidRPr="1AFE50CD" w:rsidR="1AFE50CD">
        <w:rPr>
          <w:rStyle w:val="Fontepargpadro"/>
          <w:rFonts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que o Ministério da Saúde (MS) instituiu em 2013 a estratégia e-SUS Atenção Básica (e-SUS AB) com a intenção de reestruturar todas as informações da Atenção Básica (AB). Essa estratégia visa um SUS eletrônico, tendo como premissa contribuir para a gestão da informação produzida no processo de trabalho das equipes de ABS. Busca-se implantar dois sistemas de software: o Coleta de Dados Simplificada (CDS) e o Prontuário Eletrônico do Cidadão (PEC) e também a disponibilidade de acesso à internet de alta performance, computadores e impressoras em todos os postos de trabalho, interconectados com outros pontos da rede assistencial.</w:t>
      </w:r>
    </w:p>
    <w:p xmlns:wp14="http://schemas.microsoft.com/office/word/2010/wordml" w14:paraId="434ED8B4" wp14:textId="77777777">
      <w:pPr>
        <w:pStyle w:val="LONormal"/>
        <w:spacing w:line="360" w:lineRule="auto"/>
        <w:ind w:firstLine="1701"/>
        <w:jc w:val="both"/>
        <w:rPr/>
      </w:pPr>
      <w:r>
        <w:rPr>
          <w:rStyle w:val="Fontepargpadro"/>
          <w:rFonts w:eastAsia="Times New Roman" w:cs="Times New Roman"/>
          <w:b/>
          <w:bCs/>
          <w:color w:val="auto"/>
          <w:lang w:eastAsia="pt-BR"/>
        </w:rPr>
        <w:t>CONSIDERANDO</w:t>
      </w:r>
      <w:r>
        <w:rPr>
          <w:rStyle w:val="Fontepargpadro"/>
          <w:rFonts w:eastAsia="Times New Roman" w:cs="Times New Roman"/>
          <w:color w:val="auto"/>
          <w:lang w:eastAsia="pt-BR"/>
        </w:rPr>
        <w:t xml:space="preserve"> que, para o repasse de verbas pelo componente de </w:t>
      </w:r>
      <w:r>
        <w:rPr>
          <w:rStyle w:val="Fontepargpadro"/>
          <w:rFonts w:eastAsia="Times New Roman" w:cs="Times New Roman"/>
          <w:b/>
          <w:bCs/>
          <w:color w:val="auto"/>
          <w:lang w:eastAsia="pt-BR"/>
        </w:rPr>
        <w:t>pagamento por desempenho,</w:t>
      </w:r>
      <w:r>
        <w:rPr>
          <w:rStyle w:val="Fontepargpadro"/>
          <w:rFonts w:eastAsia="Times New Roman" w:cs="Times New Roman"/>
          <w:color w:val="auto"/>
          <w:lang w:eastAsia="pt-BR"/>
        </w:rPr>
        <w:t xml:space="preserve"> foram estabelecidos sete indicadores relativos ao pré-natal, à saúde da mulher, à saúde da criança e às doenças crônicas, cujos dados podem </w:t>
      </w:r>
      <w:r>
        <w:rPr>
          <w:rStyle w:val="Fontepargpadro"/>
          <w:rFonts w:eastAsia="Times New Roman" w:cs="Times New Roman"/>
        </w:rPr>
        <w:t>ser calculados diretamente por meio do Sistema de Informação em Saúde para a Atenção Básica (Sisab), listados a seguir</w:t>
      </w:r>
      <w:r>
        <w:rPr>
          <w:rStyle w:val="Fontepargpadro"/>
          <w:rFonts w:eastAsia="Times New Roman" w:cs="Times New Roman"/>
          <w:color w:val="auto"/>
          <w:lang w:eastAsia="pt-BR"/>
        </w:rPr>
        <w:t>:</w:t>
      </w:r>
    </w:p>
    <w:p xmlns:wp14="http://schemas.microsoft.com/office/word/2010/wordml" w14:paraId="2A3529D6" wp14:textId="77777777">
      <w:pPr>
        <w:pStyle w:val="LONormal"/>
        <w:tabs>
          <w:tab w:val="clear" w:pos="709"/>
        </w:tabs>
        <w:spacing w:line="360" w:lineRule="auto"/>
        <w:ind w:left="993" w:hanging="0"/>
        <w:jc w:val="both"/>
        <w:rPr/>
      </w:pPr>
      <w:r>
        <w:rPr>
          <w:rStyle w:val="Fontepargpadro"/>
          <w:rFonts w:eastAsia="Times New Roman" w:cs="Times New Roman"/>
          <w:b/>
          <w:bCs/>
          <w:color w:val="auto"/>
          <w:lang w:eastAsia="pt-BR"/>
        </w:rPr>
        <w:t>Indicador 1:</w:t>
      </w:r>
      <w:r>
        <w:rPr>
          <w:rStyle w:val="Fontepargpadro"/>
          <w:rFonts w:eastAsia="Times New Roman" w:cs="Times New Roman"/>
          <w:color w:val="auto"/>
          <w:lang w:eastAsia="pt-BR"/>
        </w:rPr>
        <w:t xml:space="preserve"> Proporção de gestantes com pelo menos 6 (seis) consultas pré-natal realizadas, sendo a 1ª até a 12ª semana de gestação; </w:t>
      </w:r>
    </w:p>
    <w:p xmlns:wp14="http://schemas.microsoft.com/office/word/2010/wordml" w14:paraId="22CDE064" wp14:textId="77777777">
      <w:pPr>
        <w:pStyle w:val="LONormal"/>
        <w:tabs>
          <w:tab w:val="clear" w:pos="709"/>
        </w:tabs>
        <w:spacing w:line="360" w:lineRule="auto"/>
        <w:ind w:left="993" w:hanging="0"/>
        <w:jc w:val="both"/>
        <w:rPr/>
      </w:pPr>
      <w:r>
        <w:rPr>
          <w:rStyle w:val="Fontepargpadro"/>
          <w:rFonts w:eastAsia="Times New Roman" w:cs="Times New Roman"/>
          <w:b/>
          <w:bCs/>
          <w:color w:val="auto"/>
          <w:lang w:eastAsia="pt-BR"/>
        </w:rPr>
        <w:t>Indicador 2:</w:t>
      </w:r>
      <w:r>
        <w:rPr>
          <w:rStyle w:val="Fontepargpadro"/>
          <w:rFonts w:eastAsia="Times New Roman" w:cs="Times New Roman"/>
          <w:color w:val="auto"/>
          <w:lang w:eastAsia="pt-BR"/>
        </w:rPr>
        <w:t xml:space="preserve"> Proporção de gestantes com realização de exames para sífilis e HIV;</w:t>
      </w:r>
    </w:p>
    <w:p xmlns:wp14="http://schemas.microsoft.com/office/word/2010/wordml" w14:paraId="70A5AE30" wp14:textId="77777777">
      <w:pPr>
        <w:pStyle w:val="LONormal"/>
        <w:tabs>
          <w:tab w:val="clear" w:pos="709"/>
        </w:tabs>
        <w:spacing w:line="360" w:lineRule="auto"/>
        <w:ind w:left="993" w:hanging="0"/>
        <w:jc w:val="both"/>
        <w:rPr/>
      </w:pPr>
      <w:r>
        <w:rPr>
          <w:rStyle w:val="Fontepargpadro"/>
          <w:rFonts w:eastAsia="Times New Roman" w:cs="Times New Roman"/>
          <w:b/>
          <w:bCs/>
          <w:color w:val="auto"/>
          <w:lang w:eastAsia="pt-BR"/>
        </w:rPr>
        <w:t>Indicador 3:</w:t>
      </w:r>
      <w:r>
        <w:rPr>
          <w:rStyle w:val="Fontepargpadro"/>
          <w:rFonts w:eastAsia="Times New Roman" w:cs="Times New Roman"/>
          <w:color w:val="auto"/>
          <w:lang w:eastAsia="pt-BR"/>
        </w:rPr>
        <w:t xml:space="preserve"> Proporção de gestantes com atendimento odontológico realizado;</w:t>
      </w:r>
    </w:p>
    <w:p xmlns:wp14="http://schemas.microsoft.com/office/word/2010/wordml" w14:paraId="25050E5C" wp14:textId="77777777">
      <w:pPr>
        <w:pStyle w:val="LONormal"/>
        <w:tabs>
          <w:tab w:val="clear" w:pos="709"/>
        </w:tabs>
        <w:spacing w:line="360" w:lineRule="auto"/>
        <w:ind w:left="993" w:hanging="0"/>
        <w:jc w:val="both"/>
        <w:rPr/>
      </w:pPr>
      <w:r>
        <w:rPr>
          <w:rStyle w:val="Fontepargpadro"/>
          <w:rFonts w:eastAsia="Times New Roman" w:cs="Times New Roman"/>
          <w:b/>
          <w:bCs/>
          <w:color w:val="auto"/>
          <w:lang w:eastAsia="pt-BR"/>
        </w:rPr>
        <w:t>Indicador 4:</w:t>
      </w:r>
      <w:r>
        <w:rPr>
          <w:rStyle w:val="Fontepargpadro"/>
          <w:rFonts w:eastAsia="Times New Roman" w:cs="Times New Roman"/>
          <w:color w:val="auto"/>
          <w:lang w:eastAsia="pt-BR"/>
        </w:rPr>
        <w:t xml:space="preserve"> Proporção de mulheres com coleta de citopatológico na APS;</w:t>
      </w:r>
    </w:p>
    <w:p xmlns:wp14="http://schemas.microsoft.com/office/word/2010/wordml" w14:paraId="2BC994A3" wp14:textId="77777777">
      <w:pPr>
        <w:pStyle w:val="LONormal"/>
        <w:tabs>
          <w:tab w:val="clear" w:pos="709"/>
        </w:tabs>
        <w:spacing w:line="360" w:lineRule="auto"/>
        <w:ind w:left="993" w:hanging="0"/>
        <w:jc w:val="both"/>
        <w:rPr/>
      </w:pPr>
      <w:r>
        <w:rPr>
          <w:rStyle w:val="Fontepargpadro"/>
          <w:rFonts w:eastAsia="Times New Roman" w:cs="Times New Roman"/>
          <w:b/>
          <w:bCs/>
          <w:color w:val="auto"/>
          <w:lang w:eastAsia="pt-BR"/>
        </w:rPr>
        <w:t>Indicador 5:</w:t>
      </w:r>
      <w:r>
        <w:rPr>
          <w:rStyle w:val="Fontepargpadro"/>
          <w:rFonts w:eastAsia="Times New Roman" w:cs="Times New Roman"/>
          <w:color w:val="auto"/>
          <w:lang w:eastAsia="pt-BR"/>
        </w:rPr>
        <w:t xml:space="preserve"> Proporção de crianças de 1(um) ano de idade vacinadas na APS contra Difeteria, Tétano, Coqueluche, Hepatite B, Infecções causadas por Haemophilus Influenzae tipo b e Poliomielite Inativada; </w:t>
      </w:r>
    </w:p>
    <w:p xmlns:wp14="http://schemas.microsoft.com/office/word/2010/wordml" w14:paraId="499BBE42" wp14:textId="77777777">
      <w:pPr>
        <w:pStyle w:val="LONormal"/>
        <w:tabs>
          <w:tab w:val="clear" w:pos="709"/>
        </w:tabs>
        <w:spacing w:line="360" w:lineRule="auto"/>
        <w:ind w:left="993" w:hanging="0"/>
        <w:jc w:val="both"/>
        <w:rPr/>
      </w:pPr>
      <w:r>
        <w:rPr>
          <w:rStyle w:val="Fontepargpadro"/>
          <w:rFonts w:eastAsia="Times New Roman" w:cs="Times New Roman"/>
          <w:b/>
          <w:bCs/>
          <w:color w:val="auto"/>
          <w:lang w:eastAsia="pt-BR"/>
        </w:rPr>
        <w:t>Indicador 6:</w:t>
      </w:r>
      <w:r>
        <w:rPr>
          <w:rStyle w:val="Fontepargpadro"/>
          <w:rFonts w:eastAsia="Times New Roman" w:cs="Times New Roman"/>
          <w:color w:val="auto"/>
          <w:lang w:eastAsia="pt-BR"/>
        </w:rPr>
        <w:t xml:space="preserve"> Proporção de pessoas com hipertensão, com consulta e pressão arterial aferida no semestre; </w:t>
      </w:r>
    </w:p>
    <w:p xmlns:wp14="http://schemas.microsoft.com/office/word/2010/wordml" w14:paraId="1FC4D88B" wp14:textId="77777777">
      <w:pPr>
        <w:pStyle w:val="LONormal"/>
        <w:tabs>
          <w:tab w:val="clear" w:pos="709"/>
        </w:tabs>
        <w:spacing w:line="360" w:lineRule="auto"/>
        <w:ind w:left="993" w:hanging="0"/>
        <w:jc w:val="both"/>
        <w:rPr/>
      </w:pPr>
      <w:r>
        <w:rPr>
          <w:rStyle w:val="Fontepargpadro"/>
          <w:rFonts w:eastAsia="Times New Roman" w:cs="Times New Roman"/>
          <w:b/>
          <w:bCs/>
          <w:color w:val="auto"/>
          <w:lang w:eastAsia="pt-BR"/>
        </w:rPr>
        <w:t>Indicador 7:</w:t>
      </w:r>
      <w:r>
        <w:rPr>
          <w:rStyle w:val="Fontepargpadro"/>
          <w:rFonts w:eastAsia="Times New Roman" w:cs="Times New Roman"/>
          <w:color w:val="auto"/>
          <w:lang w:eastAsia="pt-BR"/>
        </w:rPr>
        <w:t xml:space="preserve"> Proporção de pessoas com diabetes, com consulta e hemoglobina glicada solicitada no semestre. </w:t>
      </w:r>
    </w:p>
    <w:p xmlns:wp14="http://schemas.microsoft.com/office/word/2010/wordml" w14:paraId="60CB8953" wp14:textId="77777777">
      <w:pPr>
        <w:pStyle w:val="LONormal"/>
        <w:spacing w:line="360" w:lineRule="auto"/>
        <w:ind w:firstLine="1701"/>
        <w:jc w:val="both"/>
      </w:pPr>
      <w:r w:rsidRPr="1AFE50CD" w:rsidR="1AFE50CD">
        <w:rPr>
          <w:rStyle w:val="Fontepargpadro"/>
          <w:rFonts w:eastAsia="Times New Roman" w:cs="Times New Roman"/>
          <w:b w:val="1"/>
          <w:bCs w:val="1"/>
          <w:color w:val="auto"/>
          <w:lang w:eastAsia="pt-BR"/>
        </w:rPr>
        <w:t>CONSIDERANDO</w:t>
      </w:r>
      <w:r w:rsidRPr="1AFE50CD" w:rsidR="1AFE50CD">
        <w:rPr>
          <w:rStyle w:val="Fontepargpadro"/>
          <w:rFonts w:eastAsia="Times New Roman" w:cs="Times New Roman"/>
          <w:color w:val="auto"/>
          <w:lang w:eastAsia="pt-BR"/>
        </w:rPr>
        <w:t xml:space="preserve"> a necessidade de adequação dos municípios aos novos parâmetros definidos pelo Ministério da Saúde para continuidade do regular repasse de verbas para o financiamento da Atenção Primária, sob pena de diminuição do repasse de recursos, o que representará prejuízos no atendimento da população;</w:t>
      </w:r>
    </w:p>
    <w:p xmlns:wp14="http://schemas.microsoft.com/office/word/2010/wordml" w:rsidP="1AFE50CD" w14:paraId="492C74AD" wp14:textId="2B175BD6">
      <w:pPr>
        <w:pStyle w:val="LONormal"/>
        <w:spacing w:line="360" w:lineRule="auto"/>
        <w:ind w:firstLine="1701"/>
        <w:jc w:val="both"/>
        <w:rPr>
          <w:rStyle w:val="Fontepargpadro"/>
          <w:rFonts w:eastAsia="Times New Roman" w:cs="Times New Roman"/>
          <w:color w:val="auto"/>
          <w:lang w:eastAsia="pt-BR"/>
        </w:rPr>
      </w:pPr>
      <w:r w:rsidRPr="1AFE50CD" w:rsidR="1AFE50CD">
        <w:rPr>
          <w:rStyle w:val="Fontepargpadro"/>
          <w:rFonts w:eastAsia="Times New Roman" w:cs="Times New Roman"/>
          <w:b w:val="1"/>
          <w:bCs w:val="1"/>
          <w:color w:val="auto"/>
          <w:lang w:eastAsia="pt-BR"/>
        </w:rPr>
        <w:t>CONSIDERANDO</w:t>
      </w:r>
      <w:r w:rsidRPr="1AFE50CD" w:rsidR="1AFE50CD">
        <w:rPr>
          <w:rStyle w:val="Fontepargpadro"/>
          <w:rFonts w:eastAsia="Times New Roman" w:cs="Times New Roman"/>
          <w:color w:val="auto"/>
          <w:lang w:eastAsia="pt-BR"/>
        </w:rPr>
        <w:t xml:space="preserve"> que o governo do Estado do Ceará, através do decreto estadual 34.580, de 17 de </w:t>
      </w:r>
      <w:proofErr w:type="gramStart"/>
      <w:r w:rsidRPr="1AFE50CD" w:rsidR="1AFE50CD">
        <w:rPr>
          <w:rStyle w:val="Fontepargpadro"/>
          <w:rFonts w:eastAsia="Times New Roman" w:cs="Times New Roman"/>
          <w:color w:val="auto"/>
          <w:lang w:eastAsia="pt-BR"/>
        </w:rPr>
        <w:t>Março</w:t>
      </w:r>
      <w:proofErr w:type="gramEnd"/>
      <w:r w:rsidRPr="1AFE50CD" w:rsidR="1AFE50CD">
        <w:rPr>
          <w:rStyle w:val="Fontepargpadro"/>
          <w:rFonts w:eastAsia="Times New Roman" w:cs="Times New Roman"/>
          <w:color w:val="auto"/>
          <w:lang w:eastAsia="pt-BR"/>
        </w:rPr>
        <w:t xml:space="preserve"> de 2022, adquiriu e distribuiu computadores para todos os municípios, visando equipar as unidades de atenção primária;</w:t>
      </w:r>
    </w:p>
    <w:p xmlns:wp14="http://schemas.microsoft.com/office/word/2010/wordml" w:rsidP="1AFE50CD" w14:paraId="11EDA860" wp14:textId="60BF5F0D">
      <w:pPr>
        <w:pStyle w:val="LONormal"/>
        <w:spacing w:line="360" w:lineRule="auto"/>
        <w:ind w:firstLine="1701"/>
        <w:jc w:val="both"/>
        <w:rPr>
          <w:rStyle w:val="Fontepargpadro"/>
          <w:rFonts w:eastAsia="Times New Roman" w:cs="Times New Roman"/>
          <w:color w:val="auto"/>
          <w:lang w:eastAsia="pt-BR"/>
        </w:rPr>
      </w:pPr>
      <w:r w:rsidRPr="1AFE50CD" w:rsidR="1AFE50CD">
        <w:rPr>
          <w:rStyle w:val="Fontepargpadro"/>
          <w:rFonts w:eastAsia="Times New Roman" w:cs="Times New Roman"/>
          <w:b w:val="1"/>
          <w:bCs w:val="1"/>
          <w:color w:val="auto"/>
          <w:lang w:eastAsia="pt-BR"/>
        </w:rPr>
        <w:t>CONSIDERANDO</w:t>
      </w:r>
      <w:r w:rsidRPr="1AFE50CD" w:rsidR="1AFE50CD">
        <w:rPr>
          <w:rStyle w:val="Fontepargpadro"/>
          <w:rFonts w:eastAsia="Times New Roman" w:cs="Times New Roman"/>
          <w:color w:val="auto"/>
          <w:lang w:eastAsia="pt-BR"/>
        </w:rPr>
        <w:t xml:space="preserve"> que o Procedimento Administrativo n.º ______________ instaurado para acompanhar a____________.</w:t>
      </w:r>
    </w:p>
    <w:p xmlns:wp14="http://schemas.microsoft.com/office/word/2010/wordml" w14:paraId="3221C2FC" wp14:textId="77777777">
      <w:pPr>
        <w:pStyle w:val="LONormal"/>
        <w:spacing w:line="360" w:lineRule="auto"/>
        <w:ind w:firstLine="1701"/>
        <w:jc w:val="both"/>
        <w:rPr/>
      </w:pPr>
      <w:r>
        <w:rPr>
          <w:rStyle w:val="Fontepargpadro"/>
          <w:rFonts w:eastAsia="Times New Roman" w:cs="Times New Roman"/>
          <w:b/>
          <w:bCs/>
        </w:rPr>
        <w:t>RESOLVE RECOMENDAR</w:t>
      </w:r>
      <w:r>
        <w:rPr>
          <w:rStyle w:val="Fontepargpadro"/>
          <w:rFonts w:eastAsia="Times New Roman" w:cs="Times New Roman"/>
        </w:rPr>
        <w:t xml:space="preserve"> a/o Exmo/</w:t>
      </w:r>
      <w:r>
        <w:rPr>
          <w:rStyle w:val="Fontepargpadro"/>
          <w:rFonts w:eastAsia="Times New Roman" w:cs="Times New Roman"/>
        </w:rPr>
        <w:t>a</w:t>
      </w:r>
      <w:r>
        <w:rPr>
          <w:rStyle w:val="Fontepargpadro"/>
          <w:rFonts w:eastAsia="Times New Roman" w:cs="Times New Roman"/>
        </w:rPr>
        <w:t>. Sr/</w:t>
      </w:r>
      <w:r>
        <w:rPr>
          <w:rStyle w:val="Fontepargpadro"/>
          <w:rFonts w:eastAsia="Times New Roman" w:cs="Times New Roman"/>
        </w:rPr>
        <w:t>a</w:t>
      </w:r>
      <w:r>
        <w:rPr>
          <w:rStyle w:val="Fontepargpadro"/>
          <w:rFonts w:eastAsia="Times New Roman" w:cs="Times New Roman"/>
        </w:rPr>
        <w:t>. Prefeito/</w:t>
      </w:r>
      <w:r>
        <w:rPr>
          <w:rStyle w:val="Fontepargpadro"/>
          <w:rFonts w:eastAsia="Times New Roman" w:cs="Times New Roman"/>
        </w:rPr>
        <w:t>a</w:t>
      </w:r>
      <w:r>
        <w:rPr>
          <w:rStyle w:val="Fontepargpadro"/>
          <w:rFonts w:eastAsia="Times New Roman" w:cs="Times New Roman"/>
        </w:rPr>
        <w:t xml:space="preserve"> de ___________ e a/o Sr/</w:t>
      </w:r>
      <w:r>
        <w:rPr>
          <w:rStyle w:val="Fontepargpadro"/>
          <w:rFonts w:eastAsia="Times New Roman" w:cs="Times New Roman"/>
        </w:rPr>
        <w:t>a</w:t>
      </w:r>
      <w:r>
        <w:rPr>
          <w:rStyle w:val="Fontepargpadro"/>
          <w:rFonts w:eastAsia="Times New Roman" w:cs="Times New Roman"/>
        </w:rPr>
        <w:t>. ______________, Secretário/</w:t>
      </w:r>
      <w:r>
        <w:rPr>
          <w:rStyle w:val="Fontepargpadro"/>
          <w:rFonts w:eastAsia="Times New Roman" w:cs="Times New Roman"/>
        </w:rPr>
        <w:t>a</w:t>
      </w:r>
      <w:r>
        <w:rPr>
          <w:rStyle w:val="Fontepargpadro"/>
          <w:rFonts w:eastAsia="Times New Roman" w:cs="Times New Roman"/>
        </w:rPr>
        <w:t xml:space="preserve"> Municipal de Saúde, Órgão Gestor do SUS, bem como a quem venha lhe suceder ou substituir no seu respectivo cargo da saúde pública, a adoção das seguintes providências, no prazo de __________:</w:t>
      </w:r>
    </w:p>
    <w:p xmlns:wp14="http://schemas.microsoft.com/office/word/2010/wordml" w14:paraId="0D0B940D" wp14:textId="77777777">
      <w:pPr>
        <w:pStyle w:val="LONormal"/>
        <w:tabs>
          <w:tab w:val="clear" w:pos="709"/>
        </w:tabs>
        <w:spacing w:line="360" w:lineRule="auto"/>
        <w:ind w:left="709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 xmlns:wp14="http://schemas.microsoft.com/office/word/2010/wordml" w14:paraId="2BFBB847" wp14:textId="77777777">
      <w:pPr>
        <w:pStyle w:val="LONormal"/>
        <w:numPr>
          <w:ilvl w:val="0"/>
          <w:numId w:val="2"/>
        </w:numPr>
        <w:tabs>
          <w:tab w:val="clear" w:pos="709"/>
        </w:tabs>
        <w:spacing w:line="360" w:lineRule="auto"/>
        <w:ind w:left="709" w:hanging="0"/>
        <w:jc w:val="both"/>
        <w:rPr/>
      </w:pPr>
      <w:r>
        <w:rPr>
          <w:rStyle w:val="Fontepargpadro"/>
          <w:rFonts w:eastAsia="Times New Roman" w:cs="Times New Roman"/>
        </w:rPr>
        <w:t xml:space="preserve">Realização do cadastramento de toda a população atendida pelo SUS municipal junto às Equipes de Saúde da Família e Equipes da Atenção Primária, mantendo atualizadas as informações das pessoas no </w:t>
      </w:r>
      <w:hyperlink w:tgtFrame="_top" r:id="rId3">
        <w:r>
          <w:rPr>
            <w:rStyle w:val="LinkdaInternet"/>
            <w:rFonts w:eastAsia="Times New Roman" w:cs="Times New Roman"/>
          </w:rPr>
          <w:t>Sisab,</w:t>
        </w:r>
      </w:hyperlink>
      <w:r>
        <w:rPr>
          <w:rStyle w:val="Fontepargpadro"/>
          <w:rFonts w:eastAsia="Times New Roman" w:cs="Times New Roman"/>
        </w:rPr>
        <w:t xml:space="preserve"> de forma a se adequar ao critério de </w:t>
      </w:r>
      <w:r>
        <w:rPr>
          <w:rStyle w:val="Fontepargpadro"/>
          <w:rFonts w:eastAsia="Times New Roman" w:cs="Times New Roman"/>
          <w:b/>
          <w:bCs/>
        </w:rPr>
        <w:t xml:space="preserve">capitação ponderada, </w:t>
      </w:r>
      <w:r>
        <w:rPr>
          <w:rStyle w:val="Fontepargpadro"/>
          <w:rFonts w:eastAsia="Times New Roman" w:cs="Times New Roman"/>
        </w:rPr>
        <w:t xml:space="preserve">que determinará o valor da transferência financeira aos municípios, além de proporcionar informações importantes para a análise situacional de saúde, que devem ser utilizadas para a estratificação de risco da população e para o planejamento local das ações e serviços de saúde, utilizando inclusive </w:t>
      </w:r>
      <w:r>
        <w:rPr>
          <w:rStyle w:val="Fontepargpadro"/>
          <w:rFonts w:eastAsia="Times New Roman" w:cs="Times New Roman"/>
          <w:b/>
          <w:bCs/>
          <w:u w:val="single"/>
        </w:rPr>
        <w:t>os dados do Saúde Digital</w:t>
      </w:r>
      <w:r>
        <w:rPr>
          <w:rStyle w:val="Fontepargpadro"/>
          <w:rFonts w:eastAsia="Times New Roman" w:cs="Times New Roman"/>
        </w:rPr>
        <w:t>, em que a população fez o cadastramento para recebimento da vacinação contra Covid-19, sendo indicadas as pessoas idosas, com comorbidades, grávidas, puérperas, entre outros indicadores importantes para acompanhamento da saúde da população;</w:t>
      </w:r>
    </w:p>
    <w:p xmlns:wp14="http://schemas.microsoft.com/office/word/2010/wordml" w14:paraId="0E27B00A" wp14:textId="77777777">
      <w:pPr>
        <w:pStyle w:val="LONormal"/>
        <w:tabs>
          <w:tab w:val="clear" w:pos="709"/>
        </w:tabs>
        <w:spacing w:line="360" w:lineRule="auto"/>
        <w:ind w:left="709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 xmlns:wp14="http://schemas.microsoft.com/office/word/2010/wordml" w14:paraId="0B247BB9" wp14:textId="77777777">
      <w:pPr>
        <w:pStyle w:val="LONormal"/>
        <w:numPr>
          <w:ilvl w:val="0"/>
          <w:numId w:val="2"/>
        </w:numPr>
        <w:tabs>
          <w:tab w:val="clear" w:pos="709"/>
        </w:tabs>
        <w:spacing w:line="360" w:lineRule="auto"/>
        <w:ind w:left="709" w:hanging="0"/>
        <w:jc w:val="both"/>
        <w:rPr/>
      </w:pPr>
      <w:r>
        <w:rPr>
          <w:rStyle w:val="Fontepargpadro"/>
          <w:rFonts w:eastAsia="Times New Roman" w:cs="Times New Roman"/>
        </w:rPr>
        <w:t xml:space="preserve">Em relação aos </w:t>
      </w:r>
      <w:r>
        <w:rPr>
          <w:rStyle w:val="Fontepargpadro"/>
          <w:rFonts w:eastAsia="Times New Roman" w:cs="Times New Roman"/>
          <w:b/>
          <w:bCs/>
        </w:rPr>
        <w:t>indicadores de desempenho</w:t>
      </w:r>
      <w:r>
        <w:rPr>
          <w:rStyle w:val="Fontepargpadro"/>
          <w:rFonts w:eastAsia="Times New Roman" w:cs="Times New Roman"/>
        </w:rPr>
        <w:t>, que sejam realizadas as ações sugeridas pelo “</w:t>
      </w:r>
      <w:r>
        <w:rPr>
          <w:rStyle w:val="Fontepargpadro"/>
          <w:rFonts w:eastAsia="Times New Roman" w:cs="Times New Roman"/>
          <w:b/>
          <w:bCs/>
        </w:rPr>
        <w:t>Manual instrutivo do financiamento da Atenção Primária à Saúde”</w:t>
      </w:r>
      <w:r>
        <w:rPr>
          <w:rStyle w:val="Ncoradanotaderodap"/>
          <w:rFonts w:eastAsia="Times New Roman" w:cs="Times New Roman"/>
          <w:b/>
          <w:bCs/>
        </w:rPr>
        <w:footnoteReference w:id="3"/>
      </w:r>
      <w:r>
        <w:rPr>
          <w:rStyle w:val="Fontepargpadro"/>
          <w:rFonts w:eastAsia="Times New Roman" w:cs="Times New Roman"/>
        </w:rPr>
        <w:t xml:space="preserve"> disponibilizado pelo Ministério da Saúde, conforme </w:t>
      </w:r>
      <w:r>
        <w:rPr>
          <w:rStyle w:val="Fontepargpadro"/>
          <w:rFonts w:eastAsia="Times New Roman" w:cs="Times New Roman"/>
          <w:b/>
          <w:bCs/>
          <w:u w:val="single"/>
        </w:rPr>
        <w:t>ANEXO</w:t>
      </w:r>
      <w:r>
        <w:rPr>
          <w:rStyle w:val="Fontepargpadro"/>
          <w:rFonts w:eastAsia="Times New Roman" w:cs="Times New Roman"/>
        </w:rPr>
        <w:t xml:space="preserve"> da presente recomendação, e especialmente as seguintes ações:</w:t>
      </w:r>
    </w:p>
    <w:p xmlns:wp14="http://schemas.microsoft.com/office/word/2010/wordml" w14:paraId="0594F102" wp14:textId="77777777">
      <w:pPr>
        <w:pStyle w:val="LONormal"/>
        <w:numPr>
          <w:ilvl w:val="1"/>
          <w:numId w:val="2"/>
        </w:numPr>
        <w:spacing w:line="360" w:lineRule="auto"/>
        <w:jc w:val="both"/>
        <w:rPr/>
      </w:pPr>
      <w:r>
        <w:rPr>
          <w:rStyle w:val="Fontepargpadro"/>
          <w:rFonts w:eastAsia="Times New Roman" w:cs="Times New Roman"/>
          <w:b/>
          <w:bCs/>
        </w:rPr>
        <w:t>Em relação aos indicadores de pré-natal, saúde da mulher e doenças crônicas:</w:t>
      </w:r>
      <w:r>
        <w:rPr>
          <w:rStyle w:val="Fontepargpadro"/>
          <w:rFonts w:eastAsia="Times New Roman" w:cs="Times New Roman"/>
        </w:rPr>
        <w:t xml:space="preserve"> Utilização dos dados do </w:t>
      </w:r>
      <w:r>
        <w:rPr>
          <w:rStyle w:val="Fontepargpadro"/>
          <w:rFonts w:eastAsia="Times New Roman" w:cs="Times New Roman"/>
          <w:b/>
          <w:bCs/>
        </w:rPr>
        <w:t>Saúde Digital</w:t>
      </w:r>
      <w:r>
        <w:rPr>
          <w:rStyle w:val="Fontepargpadro"/>
          <w:rFonts w:eastAsia="Times New Roman" w:cs="Times New Roman"/>
        </w:rPr>
        <w:t xml:space="preserve"> para fins de ampliação da cobertura de atendimento de cada equipe da atenção primária e busca ativa, incluindo acompanhamento dos pacientes com comorbidades, pessoas idosas e mulheres grávidas, com acompanhamento por rota (podendo inclusive ser georreferenciada), com visitas periódicas, ou mesmo ligações telefônicas por parte da equipe;</w:t>
      </w:r>
    </w:p>
    <w:p xmlns:wp14="http://schemas.microsoft.com/office/word/2010/wordml" w14:paraId="3BBAAC07" wp14:textId="77777777">
      <w:pPr>
        <w:pStyle w:val="LONormal"/>
        <w:numPr>
          <w:ilvl w:val="1"/>
          <w:numId w:val="2"/>
        </w:numPr>
        <w:spacing w:line="360" w:lineRule="auto"/>
        <w:jc w:val="both"/>
        <w:rPr/>
      </w:pPr>
      <w:r>
        <w:rPr>
          <w:rStyle w:val="Fontepargpadro"/>
          <w:rFonts w:eastAsia="Times New Roman" w:cs="Times New Roman"/>
          <w:b/>
          <w:bCs/>
        </w:rPr>
        <w:t xml:space="preserve">Em relação ao indicador de saúde da criança: </w:t>
      </w:r>
      <w:r>
        <w:rPr>
          <w:rStyle w:val="Fontepargpadro"/>
          <w:rFonts w:eastAsia="Times New Roman" w:cs="Times New Roman"/>
        </w:rPr>
        <w:t xml:space="preserve">Além do acompanhamento das metas das vacinas de </w:t>
      </w:r>
      <w:r>
        <w:rPr>
          <w:rStyle w:val="Fontepargpadro"/>
          <w:rFonts w:eastAsia="Times New Roman" w:cs="Times New Roman"/>
          <w:color w:val="auto"/>
          <w:lang w:eastAsia="pt-BR"/>
        </w:rPr>
        <w:t xml:space="preserve">Difeteria, Tétano, Coqueluche, Hepatite B, Infecções causadas por Haemophilus Influenzae tipo b e Poliomielite Inativada </w:t>
      </w:r>
      <w:r>
        <w:rPr>
          <w:rStyle w:val="Fontepargpadro"/>
          <w:rFonts w:eastAsia="Times New Roman" w:cs="Times New Roman"/>
        </w:rPr>
        <w:t xml:space="preserve"> (previstas na Portaria do Previne Brasil), realizar mobilização para atingimento das metas em todas as vacinas obrigatórias do PNI para crianças até um ano: </w:t>
      </w:r>
      <w:r>
        <w:rPr>
          <w:rStyle w:val="Fontepargpadro"/>
          <w:rFonts w:eastAsia="Times New Roman" w:cs="Times New Roman"/>
          <w:b/>
          <w:bCs/>
        </w:rPr>
        <w:t xml:space="preserve">BCG; Rotavírus; Pentavalente; Pneumocócica; Poliomielite e Meningocócica C e Tríplice Viral, </w:t>
      </w:r>
      <w:r>
        <w:rPr>
          <w:rStyle w:val="Fontepargpadro"/>
          <w:rFonts w:eastAsia="Times New Roman" w:cs="Times New Roman"/>
        </w:rPr>
        <w:t>realizando campanha de multivacinação</w:t>
      </w:r>
      <w:r>
        <w:rPr>
          <w:rStyle w:val="Ncoradanotaderodap"/>
          <w:rFonts w:eastAsia="Times New Roman" w:cs="Times New Roman"/>
        </w:rPr>
        <w:footnoteReference w:id="4"/>
      </w:r>
      <w:r>
        <w:rPr>
          <w:rStyle w:val="Fontepargpadro"/>
          <w:rFonts w:eastAsia="Times New Roman" w:cs="Times New Roman"/>
        </w:rPr>
        <w:t>, busca ativa e mobilização social, enfatizando a segurança e os benefícios trazidos pela imunização.</w:t>
      </w:r>
    </w:p>
    <w:p xmlns:wp14="http://schemas.microsoft.com/office/word/2010/wordml" w14:paraId="60061E4C" wp14:textId="77777777">
      <w:pPr>
        <w:pStyle w:val="LONormal"/>
        <w:spacing w:line="360" w:lineRule="auto"/>
        <w:jc w:val="both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 xmlns:wp14="http://schemas.microsoft.com/office/word/2010/wordml" w14:paraId="29E6C845" wp14:textId="77777777">
      <w:pPr>
        <w:pStyle w:val="LONormal"/>
        <w:numPr>
          <w:ilvl w:val="0"/>
          <w:numId w:val="2"/>
        </w:numPr>
        <w:tabs>
          <w:tab w:val="clear" w:pos="709"/>
        </w:tabs>
        <w:spacing w:line="360" w:lineRule="auto"/>
        <w:ind w:left="709" w:hanging="0"/>
        <w:jc w:val="both"/>
        <w:rPr/>
      </w:pPr>
      <w:r>
        <w:rPr>
          <w:rStyle w:val="Fontepargpadro"/>
          <w:rFonts w:eastAsia="Times New Roman" w:cs="Times New Roman"/>
        </w:rPr>
        <w:t>Que seja providenciado, no prazo __________, a i</w:t>
      </w:r>
      <w:r>
        <w:rPr>
          <w:rStyle w:val="Fontepargpadro"/>
          <w:rFonts w:eastAsia="Times New Roman" w:cs="Times New Roman"/>
          <w:lang w:eastAsia="pt-BR"/>
        </w:rPr>
        <w:t>nstalação, em local visível nas salas de recepção ou próximo à entrada de todas as Unidades de Saúde (Unidades Básicas de Saúde, Estratégias de Saúde da Família, NASF, UPAs, Hospitais) e outras eventualmente existentes, da identificação e do horário de atendimento da Unidade, bem como do mapa de abrangência, com a cobertura de cada equipe, identificação do Gerente da Atenção Básica no território, relação dos serviços disponíveis e detalhamento das escalas de atendimento de cada equipe informando ao usuário, de forma clara e objetiva, o nome de todos os profissionais de saúde em exercício naquele dia, sua especialidade e o horário de início e de término da jornada de trabalho de cada um deles, em atendimento ao disposto no Capítulo III, item 3, da Portaria GM-MS nº 2.436, de 21 de setembro de 2017.</w:t>
      </w:r>
    </w:p>
    <w:p xmlns:wp14="http://schemas.microsoft.com/office/word/2010/wordml" w14:paraId="44EAFD9C" wp14:textId="77777777">
      <w:pPr>
        <w:pStyle w:val="LONormal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 xmlns:wp14="http://schemas.microsoft.com/office/word/2010/wordml" w14:paraId="423D5FAA" wp14:textId="77777777">
      <w:pPr>
        <w:pStyle w:val="LONormal"/>
        <w:spacing w:line="360" w:lineRule="auto"/>
        <w:ind w:firstLine="1701"/>
        <w:jc w:val="both"/>
        <w:rPr>
          <w:rFonts w:eastAsia="Times New Roman" w:cs="Times New Roman"/>
        </w:rPr>
      </w:pPr>
      <w:bookmarkStart w:name="_Hlk84842732" w:id="0"/>
      <w:bookmarkEnd w:id="0"/>
      <w:r>
        <w:rPr>
          <w:rFonts w:eastAsia="Times New Roman" w:cs="Times New Roman"/>
        </w:rPr>
        <w:t>Requisite-se, na forma do artigo 27, parágrafo único, inciso IV da Lei nº 8.625/93, ao Prefeito e à Secretaria Municipal de Saúde, no prazo de _____ dias, a ser renovado a cada 15 dias, o encaminhamento das seguintes informações organizadas em tabela, planilha ou outra forma equivalente para comparação e verificação da evolução dos dados:</w:t>
      </w:r>
    </w:p>
    <w:p xmlns:wp14="http://schemas.microsoft.com/office/word/2010/wordml" w14:paraId="43965567" wp14:textId="77777777">
      <w:pPr>
        <w:pStyle w:val="LONormal"/>
        <w:numPr>
          <w:ilvl w:val="0"/>
          <w:numId w:val="3"/>
        </w:numPr>
        <w:tabs>
          <w:tab w:val="clear" w:pos="709"/>
        </w:tabs>
        <w:spacing w:line="360" w:lineRule="auto"/>
        <w:ind w:left="851" w:hanging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Número de Unidades Básicas de Saúde/ Postos do município, com a informação da cobertura populacional de cada unidade e como é feito o acompanhamento das informações de saúde da população atendida, com destaque para;</w:t>
      </w:r>
    </w:p>
    <w:p xmlns:wp14="http://schemas.microsoft.com/office/word/2010/wordml" w14:paraId="6E1F70E5" wp14:textId="77777777">
      <w:pPr>
        <w:pStyle w:val="LONormal"/>
        <w:numPr>
          <w:ilvl w:val="1"/>
          <w:numId w:val="3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Informação dos indicadores gerais e especialmente os indicadores de comorbidades (doenças crônicas, saúde da mulher e pré-natal) da população atendida em cada unidade de atenção primária à saúde;</w:t>
      </w:r>
    </w:p>
    <w:p xmlns:wp14="http://schemas.microsoft.com/office/word/2010/wordml" w14:paraId="2183B124" wp14:textId="77777777">
      <w:pPr>
        <w:pStyle w:val="LONormal"/>
        <w:numPr>
          <w:ilvl w:val="1"/>
          <w:numId w:val="3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Informação dos indicadores da cobertura vacinal infantil dos  imunizantes obrigatórios do PNI por unidade básica de saúde, informando onde há maior/menor cobertura vacinal.</w:t>
      </w:r>
    </w:p>
    <w:p xmlns:wp14="http://schemas.microsoft.com/office/word/2010/wordml" w14:paraId="15F5F153" wp14:textId="77777777">
      <w:pPr>
        <w:pStyle w:val="LONormal"/>
        <w:spacing w:line="360" w:lineRule="auto"/>
        <w:ind w:firstLine="1701"/>
        <w:jc w:val="both"/>
        <w:rPr>
          <w:rFonts w:eastAsia="Times New Roman" w:cs="Times New Roman"/>
        </w:rPr>
      </w:pPr>
      <w:bookmarkStart w:name="_Hlk848427321" w:id="1"/>
      <w:bookmarkEnd w:id="1"/>
      <w:r>
        <w:rPr>
          <w:rFonts w:eastAsia="Times New Roman" w:cs="Times New Roman"/>
        </w:rPr>
        <w:t>Remeta-se a presente RECOMENDAÇÃO ao Prefeito Municipal e ao Secretário de Saúde do município de ____________, e ainda para:</w:t>
      </w:r>
    </w:p>
    <w:p xmlns:wp14="http://schemas.microsoft.com/office/word/2010/wordml" w14:paraId="56EEDB4E" wp14:textId="77777777">
      <w:pPr>
        <w:pStyle w:val="LONormal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as rádios difusoras do Município para conhecimento da RECOMENDAÇÃO, dando a devida publicidade;</w:t>
      </w:r>
    </w:p>
    <w:p xmlns:wp14="http://schemas.microsoft.com/office/word/2010/wordml" w14:paraId="21643F9E" wp14:textId="77777777">
      <w:pPr>
        <w:pStyle w:val="LONormal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 Centro de Apoio Operacional da Saúde – Caosaúde, por meio de sistema informatizado.</w:t>
      </w:r>
    </w:p>
    <w:p xmlns:wp14="http://schemas.microsoft.com/office/word/2010/wordml" w14:paraId="20BDB053" wp14:textId="77777777">
      <w:pPr>
        <w:pStyle w:val="LONormal"/>
        <w:spacing w:line="360" w:lineRule="auto"/>
        <w:ind w:firstLine="170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Publique-se no Diário do MPCE. Registre-se. Arquive-se.</w:t>
      </w:r>
    </w:p>
    <w:p xmlns:wp14="http://schemas.microsoft.com/office/word/2010/wordml" w14:paraId="4B94D5A5" wp14:textId="77777777">
      <w:pPr>
        <w:pStyle w:val="LONormal"/>
        <w:spacing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 xmlns:wp14="http://schemas.microsoft.com/office/word/2010/wordml" w14:paraId="34EAFE2D" wp14:textId="77777777">
      <w:pPr>
        <w:pStyle w:val="LONormal"/>
        <w:spacing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Município, data.</w:t>
      </w:r>
    </w:p>
    <w:p xmlns:wp14="http://schemas.microsoft.com/office/word/2010/wordml" w14:paraId="1FF18AD7" wp14:textId="77777777">
      <w:pPr>
        <w:pStyle w:val="LONormal"/>
        <w:spacing w:line="360" w:lineRule="auto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  <w:t>Promotor de Justiça</w:t>
      </w:r>
    </w:p>
    <w:p xmlns:wp14="http://schemas.microsoft.com/office/word/2010/wordml" w14:paraId="3DEEC669" wp14:textId="77777777">
      <w:pPr>
        <w:pStyle w:val="LONormal"/>
        <w:spacing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 xmlns:wp14="http://schemas.microsoft.com/office/word/2010/wordml" w14:paraId="3656B9AB" wp14:textId="77777777">
      <w:pPr>
        <w:pStyle w:val="LONormal"/>
        <w:spacing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 xmlns:wp14="http://schemas.microsoft.com/office/word/2010/wordml" w14:paraId="08C5318B" wp14:textId="77777777">
      <w:pPr>
        <w:pStyle w:val="LONormal"/>
        <w:spacing w:line="360" w:lineRule="auto"/>
        <w:jc w:val="center"/>
        <w:rPr/>
      </w:pPr>
      <w:r>
        <w:rPr>
          <w:rStyle w:val="Fontepargpadro"/>
          <w:rFonts w:eastAsia="Times New Roman" w:cs="Times New Roman"/>
          <w:b/>
          <w:bCs/>
          <w:u w:val="single"/>
        </w:rPr>
        <w:t>ANEXO</w:t>
      </w:r>
      <w:r>
        <w:rPr>
          <w:rStyle w:val="Ncoradanotaderodap"/>
          <w:rFonts w:eastAsia="Times New Roman" w:cs="Times New Roman"/>
          <w:b/>
          <w:bCs/>
          <w:u w:val="single"/>
        </w:rPr>
        <w:footnoteReference w:id="5"/>
      </w:r>
    </w:p>
    <w:tbl>
      <w:tblPr>
        <w:tblW w:w="906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6426"/>
      </w:tblGrid>
      <w:tr xmlns:wp14="http://schemas.microsoft.com/office/word/2010/wordml" w14:paraId="64A0E045" wp14:textId="77777777">
        <w:trPr/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D2C09" wp14:textId="77777777">
            <w:pPr>
              <w:pStyle w:val="LONormal"/>
              <w:widowControl w:val="false"/>
              <w:spacing w:before="0" w:after="120" w:line="240" w:lineRule="auto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INDICADORES</w:t>
            </w:r>
          </w:p>
        </w:tc>
        <w:tc>
          <w:tcPr>
            <w:tcW w:w="6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4BABA" wp14:textId="77777777">
            <w:pPr>
              <w:pStyle w:val="LONormal"/>
              <w:widowControl w:val="false"/>
              <w:spacing w:before="0" w:after="120" w:line="240" w:lineRule="auto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AÇÕES RECOMENDADAS</w:t>
            </w:r>
          </w:p>
        </w:tc>
      </w:tr>
      <w:tr xmlns:wp14="http://schemas.microsoft.com/office/word/2010/wordml" w14:paraId="4B57975C" wp14:textId="77777777">
        <w:trPr/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D22A0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PRÉ-NATAL</w:t>
            </w:r>
          </w:p>
          <w:p w14:paraId="2FA7CA2F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Proporção de gestantes com pelo menos seis consultas pré-natal realizadas, sendo a primeira até a 20ª semana de gestação:</w:t>
            </w:r>
          </w:p>
          <w:p w14:paraId="45FB0818" wp14:textId="77777777">
            <w:pPr>
              <w:pStyle w:val="LONormal"/>
              <w:widowControl w:val="false"/>
              <w:spacing w:before="0" w:after="120" w:line="240" w:lineRule="auto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F31CB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</w:r>
          </w:p>
          <w:p w14:paraId="05B019EE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Implantação de protocolo para as ações de pré-natal e monitoramento da conformidade das práticas das eSF e eAP, em relação aos parâmetros de qualidade estabelecidos, inclusive no que diz respeito à humanização desse tipo de atendimento.</w:t>
            </w:r>
          </w:p>
          <w:p w14:paraId="53128261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</w:r>
          </w:p>
        </w:tc>
      </w:tr>
      <w:tr xmlns:wp14="http://schemas.microsoft.com/office/word/2010/wordml" w14:paraId="32EB6E7C" wp14:textId="77777777">
        <w:trPr/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6DBC0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PRÉ-NATAL</w:t>
            </w:r>
          </w:p>
          <w:p w14:paraId="402FD4AC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Proporção de gestantes com realização de exames para sífilis e HIV e proporção de gestantes com atendimento odontológico realizado:</w:t>
            </w:r>
          </w:p>
          <w:p w14:paraId="62486C05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</w:r>
          </w:p>
        </w:tc>
        <w:tc>
          <w:tcPr>
            <w:tcW w:w="6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1652C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</w:r>
          </w:p>
          <w:p w14:paraId="56C33760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Garantia de disponibilidade suficiente de insumos, equipamentos, exames e medicamentos necessários ao atendimento de pré-natal, segundo os parâmetros de qualidade vigentes.</w:t>
            </w:r>
          </w:p>
          <w:p w14:paraId="04BDE8FF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Estratégias para facilitação do acesso: busca ativa das gestantes na área de abrangência da equipe, por meio de visitas domiciliares regulares, para cadastramento e início precoce do pré-natal, flexibilização de horários de atendimentos e lembrete de consultas agendadas.</w:t>
            </w:r>
          </w:p>
          <w:p w14:paraId="65B46236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Atualização periódica dos dados referentes ao cadastro de gestantes e ao início do pré-natal.</w:t>
            </w:r>
          </w:p>
          <w:p w14:paraId="285D3AB1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Capacitação de todos os profissionais das equipes, dentro de suas competências específicas, para melhorar o acesso e a qualidade das ações de pré-natal e a alimentação do sistema de informação para a atenção primária.</w:t>
            </w:r>
          </w:p>
          <w:p w14:paraId="230857D4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Monitoramento e avaliação da qualidade e consistência dos dados informados pelas equipes, com vistas ao acompanhamento da evolução de resultados, negociação/ contratualização de metas, definição de prioridades sobre o apoio institucional e a educação permanente, assim como assessoramento à gestão.</w:t>
            </w:r>
          </w:p>
          <w:p w14:paraId="4B99056E" wp14:textId="77777777">
            <w:pPr>
              <w:pStyle w:val="LONormal"/>
              <w:widowControl w:val="false"/>
              <w:spacing w:before="0" w:after="12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1AE085B3" wp14:textId="77777777">
        <w:trPr/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3C2C7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SAÚDE DA MULHER</w:t>
            </w:r>
          </w:p>
          <w:p w14:paraId="07916301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Cobertura de exame citopatológico:</w:t>
            </w:r>
          </w:p>
          <w:p w14:paraId="1299C43A" wp14:textId="77777777">
            <w:pPr>
              <w:pStyle w:val="LONormal"/>
              <w:widowControl w:val="false"/>
              <w:spacing w:before="0" w:after="120" w:line="240" w:lineRule="auto"/>
              <w:jc w:val="center"/>
              <w:rPr/>
            </w:pPr>
            <w:r>
              <w:rPr/>
            </w:r>
          </w:p>
        </w:tc>
        <w:tc>
          <w:tcPr>
            <w:tcW w:w="6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BEF00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</w:r>
          </w:p>
          <w:p w14:paraId="2D750384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Capacitação de todos os profissionais das equipes quanto ao controle do câncer do colo do útero.</w:t>
            </w:r>
          </w:p>
          <w:p w14:paraId="62C1A478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Monitoramento e avaliação da qualidade e consistência dos dados informados pelas equipes, com vistas ao acompanhamento da evolução de resultados, negociação/ contratualização de metas, definição de prioridades sobre o apoio institucional e a educação permanente, assim como assessoramento à gestão.</w:t>
            </w:r>
          </w:p>
          <w:p w14:paraId="1C100FC3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Orientação à população quanto à necessidade do exame e realização de busca ativa das mulheres na idade de 25 a 64 anos, para realização do exame citopatológico e do autocuidado.</w:t>
            </w:r>
          </w:p>
          <w:p w14:paraId="0054659F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Estratégias para facilitação do acesso: busca ativa das mulheres na faixa etária na área de abrangência da equipe, e flexibilização de horários da coleta do citopatológico.</w:t>
            </w:r>
          </w:p>
          <w:p w14:paraId="3461D779" wp14:textId="77777777">
            <w:pPr>
              <w:pStyle w:val="LONormal"/>
              <w:widowControl w:val="false"/>
              <w:spacing w:before="0" w:after="12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6DBCF401" wp14:textId="77777777">
        <w:trPr/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D2D2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SAÚDE DA CRIANÇA</w:t>
            </w:r>
          </w:p>
          <w:p w14:paraId="35C3CC4E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Cobertura vacinal de Poliomielite inativada e de Pentavalente:</w:t>
            </w:r>
          </w:p>
          <w:p w14:paraId="3CF2D8B6" wp14:textId="77777777">
            <w:pPr>
              <w:pStyle w:val="LONormal"/>
              <w:widowControl w:val="false"/>
              <w:spacing w:before="0" w:after="120" w:line="240" w:lineRule="auto"/>
              <w:jc w:val="center"/>
              <w:rPr/>
            </w:pPr>
            <w:r>
              <w:rPr/>
            </w:r>
          </w:p>
        </w:tc>
        <w:tc>
          <w:tcPr>
            <w:tcW w:w="6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78278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</w:r>
          </w:p>
          <w:p w14:paraId="3BDFF064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Busca ativa das crianças menores de 1 ano na área de abrangência da equipe, com pendências na situação vacinal.</w:t>
            </w:r>
          </w:p>
          <w:p w14:paraId="05E4A530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Atualização periódica do cadastro no Sistema de Informação para a Atenção Primária, por meio de visitas domiciliares regulares.</w:t>
            </w:r>
          </w:p>
          <w:p w14:paraId="6CEDFD74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Verificação da situação vacinal na Caderneta de Saúde da Criança em todos os atendimentos, aproveitando oportunidades para atualizar o esquema vacinal e orientar as famílias sobre a sua importância.</w:t>
            </w:r>
          </w:p>
          <w:p w14:paraId="6A87FA17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Monitoramento periódico desse indicador com vistas à programação de ações para melhoria da cobertura vacinal: campanhas, busca ativa, ações educativas, flexibilização de horários de atendimento, mutirões de imunização em áreas de difícil acesso etc.</w:t>
            </w:r>
          </w:p>
          <w:p w14:paraId="5D5694DC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Favorecer o acesso da população às vacinas constantes do calendário, tais como: readequação de horários de atendimento, parcerias com creches, escolas e ambientes que potencializam a mobilização sobre a vacina.</w:t>
            </w:r>
          </w:p>
          <w:p w14:paraId="033C9B12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Realizar a logística de contagem de estoque e movimentação, de forma a não prejudicar a programação e funcionamento da sala de vacina, informando a população, com antecedência, se for necessário fechar a sala em determinado período. As Coordenações Municipais de Atenção Primária e de Vigilância/ Imunização devem estar articuladas para a garantia do fornecimento regular de imunobiológicos e organização do fluxo de distribuição, a fim de evitar e prevenir faltas de vacinas nas unidades.</w:t>
            </w:r>
          </w:p>
          <w:p w14:paraId="0A300AD0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Identificar e dialogar com os usuários, desmistificando qualquer informação falsa (fake news) acerca do assunto e enfatizando a segurança e os benefícios trazidos pela imunização.</w:t>
            </w:r>
          </w:p>
          <w:p w14:paraId="24D48A48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Capacitação de todos os profissionais das equipes quanto à imunização.</w:t>
            </w:r>
          </w:p>
          <w:p w14:paraId="1FC39945" wp14:textId="77777777">
            <w:pPr>
              <w:pStyle w:val="LONormal"/>
              <w:widowControl w:val="false"/>
              <w:spacing w:before="0" w:after="12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14:paraId="236E3282" wp14:textId="77777777">
        <w:trPr/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D6FDD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DOENÇAS CRÔNICAS</w:t>
            </w:r>
          </w:p>
          <w:p w14:paraId="1DE8FB67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Percentual de pessoas hipertensas com pressão arterial aferida em cada semestre:</w:t>
            </w:r>
          </w:p>
          <w:p w14:paraId="0562CB0E" wp14:textId="77777777">
            <w:pPr>
              <w:pStyle w:val="LONormal"/>
              <w:widowControl w:val="false"/>
              <w:spacing w:before="0" w:after="120" w:line="240" w:lineRule="auto"/>
              <w:jc w:val="center"/>
              <w:rPr/>
            </w:pPr>
            <w:r>
              <w:rPr/>
            </w:r>
          </w:p>
        </w:tc>
        <w:tc>
          <w:tcPr>
            <w:tcW w:w="6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E0A41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</w:r>
          </w:p>
          <w:p w14:paraId="60CCE51A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Capacitação de todos os profissionais das equipes, dentro de suas competências específicas, para melhorar o diagnóstico e cadastramento de pessoas com hipertensão.</w:t>
            </w:r>
          </w:p>
          <w:p w14:paraId="022E807D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Monitoramento e avaliação da qualidade e consistência dos dados informados pelas equipes, com vistas ao acompanhamento da evolução de resultados, negociação/ contratualização de metas, definição de prioridades sobre o apoio institucional e a educação permanente, assim como assessoramento à gestão.</w:t>
            </w:r>
          </w:p>
          <w:p w14:paraId="76BE620B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Realizar busca ativa de pessoas com fatores de risco para essa doença na comunidade (obesidade, antecedentes familiares, sintomas sugestivos da doença e de suas complicações etc), tanto por meio de campanhas como pelo rastreamento regular da hipertensão.</w:t>
            </w:r>
          </w:p>
          <w:p w14:paraId="5A0F9E6F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Instituir, como rotina de atendimento da equipe de saúde, a avaliação da pressão arterial de todas as pessoas adultas que comparecerem à unidade de saúde para algum atendimento.</w:t>
            </w:r>
          </w:p>
          <w:p w14:paraId="474FCE88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Subsidiar processos de planejamento, gestão e avaliação de políticas e ações preventivas e assistenciais relativas à hipertensão e às doenças associadas, tais como estimativa de demanda de medicamentos e da necessidade de profissionais e serviços especializados para tratamento das doenças causadas pela hipertensão, como doença renal crônica.</w:t>
            </w:r>
          </w:p>
          <w:p w14:paraId="37FED6E3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Realizar busca ativa de pessoas com hipertensão.</w:t>
            </w:r>
          </w:p>
        </w:tc>
      </w:tr>
      <w:tr xmlns:wp14="http://schemas.microsoft.com/office/word/2010/wordml" w14:paraId="6B8E5106" wp14:textId="77777777">
        <w:trPr/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F919A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DOENÇAS CRÔNICAS</w:t>
            </w:r>
          </w:p>
          <w:p w14:paraId="7D7FEE54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Percentual de diabéticos com solicitação de hemoglobina glicada:</w:t>
            </w:r>
          </w:p>
          <w:p w14:paraId="62EBF3C5" wp14:textId="77777777">
            <w:pPr>
              <w:pStyle w:val="LONormal"/>
              <w:widowControl w:val="false"/>
              <w:spacing w:before="0" w:after="120" w:line="240" w:lineRule="auto"/>
              <w:jc w:val="center"/>
              <w:rPr/>
            </w:pPr>
            <w:r>
              <w:rPr/>
            </w:r>
          </w:p>
        </w:tc>
        <w:tc>
          <w:tcPr>
            <w:tcW w:w="6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8A12B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</w:r>
          </w:p>
          <w:p w14:paraId="60DEA410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Capacitação de todos os profissionais das equipes, dentro de suas competências específicas, para melhorar o diagnóstico e cadastramento de pessoas com diabetes.</w:t>
            </w:r>
          </w:p>
          <w:p w14:paraId="128A24F3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Monitoramento e avaliação da qualidade e consistência dos dados informados pelas equipes, com vistas ao acompanhamento da evolução de resultados, negociação/contratualização de metas, definição de prioridades sobre o apoio institucional e a educação permanente, assim como assessoramento à gestão.</w:t>
            </w:r>
          </w:p>
          <w:p w14:paraId="13C97C85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Busca ativa de pessoas com fatores de risco para diabetes mellitus na comunidade (obesidade, antecedentes familiares, sintomas sugestivos etc), por meio de campanhas de rastreamento, informação e/ou levantamentos.</w:t>
            </w:r>
          </w:p>
          <w:p w14:paraId="777C138E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Busca ativa de pessoas com diabetes já cadastradas para atendimento, com solicitação do exame de hemoglobina glicada, com monitoramento do processo: solicitação/coleta e entrega do resultado, com encaminhamentos pertinentes a cada caso.</w:t>
            </w:r>
          </w:p>
          <w:p w14:paraId="15D63742" wp14:textId="77777777">
            <w:pPr>
              <w:pStyle w:val="LONormal"/>
              <w:widowControl w:val="false"/>
              <w:spacing w:before="0" w:after="120" w:line="240" w:lineRule="auto"/>
              <w:jc w:val="both"/>
              <w:rPr/>
            </w:pPr>
            <w:r>
              <w:rPr/>
              <w:t>Oferta do exame hemoglobina glicada pela gestão local, para realização em tempo oportuno e entrega do resultado ao usuário.</w:t>
            </w:r>
          </w:p>
          <w:p w14:paraId="2946DB82" wp14:textId="77777777">
            <w:pPr>
              <w:pStyle w:val="LONormal"/>
              <w:widowControl w:val="false"/>
              <w:spacing w:before="0" w:after="120" w:line="240" w:lineRule="auto"/>
              <w:jc w:val="center"/>
              <w:rPr/>
            </w:pPr>
            <w:r>
              <w:rPr/>
            </w:r>
          </w:p>
        </w:tc>
      </w:tr>
    </w:tbl>
    <w:p xmlns:wp14="http://schemas.microsoft.com/office/word/2010/wordml" w14:paraId="5997CC1D" wp14:textId="77777777">
      <w:pPr>
        <w:pStyle w:val="LONormal"/>
        <w:spacing w:line="360" w:lineRule="auto"/>
        <w:jc w:val="center"/>
        <w:rPr/>
      </w:pPr>
      <w:r>
        <w:rPr/>
      </w:r>
    </w:p>
    <w:p xmlns:wp14="http://schemas.microsoft.com/office/word/2010/wordml" w14:paraId="110FFD37" wp14:textId="77777777">
      <w:pPr>
        <w:pStyle w:val="LONormal"/>
        <w:spacing w:line="360" w:lineRule="auto"/>
        <w:jc w:val="center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 w:orient="portrait"/>
      <w:pgMar w:top="1417" w:right="1701" w:bottom="1417" w:left="1701" w:header="788" w:footer="7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1F72F646" wp14:textId="77777777">
    <w:pPr>
      <w:pStyle w:val="Normal"/>
      <w:rPr>
        <w:b/>
        <w:b/>
        <w:sz w:val="18"/>
        <w:szCs w:val="18"/>
      </w:rPr>
    </w:pPr>
    <w:r>
      <w:rPr/>
      <w:drawing>
        <wp:inline xmlns:wp14="http://schemas.microsoft.com/office/word/2010/wordprocessingDrawing" distT="0" distB="0" distL="0" distR="0" wp14:anchorId="70E97DC6" wp14:editId="7777777">
          <wp:extent cx="5741670" cy="62865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2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14:paraId="7D70317B" wp14:textId="77777777">
    <w:pPr>
      <w:pStyle w:val="Rodap"/>
      <w:tabs>
        <w:tab w:val="center" w:leader="none" w:pos="4419"/>
        <w:tab w:val="center" w:leader="none" w:pos="4819"/>
        <w:tab w:val="right" w:leader="none" w:pos="8560"/>
        <w:tab w:val="right" w:leader="none" w:pos="8838"/>
      </w:tabs>
      <w:spacing w:line="240" w:lineRule="atLeast"/>
      <w:jc w:val="center"/>
      <w:rPr>
        <w:sz w:val="20"/>
        <w:szCs w:val="20"/>
      </w:rPr>
    </w:pPr>
    <w:r>
      <w:rPr>
        <w:b/>
        <w:bCs/>
        <w:sz w:val="20"/>
        <w:szCs w:val="20"/>
      </w:rPr>
      <w:t>CENTRO DE APOIO OPERACIONAL DA SAÚDE – CAOSAÚDE</w:t>
    </w:r>
    <w:r>
      <w:rPr>
        <w:sz w:val="20"/>
        <w:szCs w:val="20"/>
      </w:rPr>
      <w:br/>
    </w:r>
    <w:r>
      <w:rPr>
        <w:sz w:val="20"/>
        <w:szCs w:val="20"/>
      </w:rPr>
      <w:t>Avenida Antônio Sales, nº 1740, Bairro: Dionísio Torres – Fortaleza/CE – CEP: 60135-101</w:t>
    </w:r>
  </w:p>
  <w:p xmlns:wp14="http://schemas.microsoft.com/office/word/2010/wordml" w14:paraId="2C7C2D53" wp14:textId="77777777">
    <w:pPr>
      <w:pStyle w:val="Rodap"/>
      <w:tabs>
        <w:tab w:val="center" w:leader="none" w:pos="4419"/>
        <w:tab w:val="center" w:leader="none" w:pos="4819"/>
        <w:tab w:val="right" w:leader="none" w:pos="8560"/>
        <w:tab w:val="right" w:leader="none" w:pos="8838"/>
      </w:tabs>
      <w:spacing w:line="240" w:lineRule="atLeast"/>
      <w:jc w:val="center"/>
      <w:rPr>
        <w:sz w:val="20"/>
        <w:szCs w:val="20"/>
      </w:rPr>
    </w:pPr>
    <w:r>
      <w:rPr>
        <w:sz w:val="20"/>
        <w:szCs w:val="20"/>
      </w:rPr>
      <w:t>Contatos: 85 98685-9580 / caosaude@mpce.mp.br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type="separator" w:id="0">
    <w:p xmlns:wp14="http://schemas.microsoft.com/office/word/2010/wordml" w14:paraId="08CE6F91" wp14:textId="77777777">
      <w:pPr>
        <w:rPr>
          <w:sz w:val="12"/>
        </w:rPr>
      </w:pPr>
      <w:r>
        <w:separator/>
      </w:r>
    </w:p>
  </w:footnote>
  <w:footnote w:type="continuationSeparator" w:id="1">
    <w:p xmlns:wp14="http://schemas.microsoft.com/office/word/2010/wordml" w14:paraId="61CDCEAD" wp14:textId="77777777">
      <w:pPr>
        <w:rPr>
          <w:sz w:val="12"/>
        </w:rPr>
      </w:pPr>
      <w:r>
        <w:continuationSeparator/>
      </w:r>
    </w:p>
  </w:footnote>
  <w:footnote w:id="2">
    <w:p xmlns:wp14="http://schemas.microsoft.com/office/word/2010/wordml" w14:paraId="0EC15EEA" wp14:textId="77777777">
      <w:pPr>
        <w:pStyle w:val="Textodenotaderodap"/>
        <w:rPr/>
      </w:pPr>
      <w:r>
        <w:rPr>
          <w:rStyle w:val="Caracteresdenotaderodap"/>
        </w:rPr>
        <w:footnoteRef/>
      </w:r>
      <w:r>
        <w:rPr/>
        <w:tab/>
      </w:r>
      <w:r>
        <w:rPr/>
        <w:t xml:space="preserve"> </w:t>
      </w:r>
      <w:r>
        <w:rPr/>
        <w:t xml:space="preserve">Cartilha explicativa sobre o novo modelo de financiamento. Disponível em:  </w:t>
      </w:r>
      <w:hyperlink w:tgtFrame="_top" r:id="rId1">
        <w:r>
          <w:rPr>
            <w:rStyle w:val="LinkdaInternet"/>
          </w:rPr>
          <w:t>http://189.28.128.100/dab/docs/portaldab/publicacoes/manual_financiamento_aps.pdf</w:t>
        </w:r>
      </w:hyperlink>
      <w:r>
        <w:rPr/>
        <w:t>.</w:t>
      </w:r>
    </w:p>
  </w:footnote>
  <w:footnote w:id="3">
    <w:p xmlns:wp14="http://schemas.microsoft.com/office/word/2010/wordml" w14:paraId="044AE469" wp14:textId="77777777">
      <w:pPr>
        <w:pStyle w:val="Textodenotaderodap"/>
        <w:rPr/>
      </w:pPr>
      <w:r>
        <w:rPr>
          <w:rStyle w:val="Caracteresdenotaderodap"/>
        </w:rPr>
        <w:footnoteRef/>
      </w:r>
      <w:r>
        <w:rPr/>
        <w:tab/>
      </w:r>
      <w:r>
        <w:rPr/>
        <w:t xml:space="preserve"> </w:t>
      </w:r>
      <w:r>
        <w:rPr/>
        <w:t xml:space="preserve">Disponível em: </w:t>
      </w:r>
      <w:hyperlink w:tgtFrame="_top" r:id="rId2">
        <w:r>
          <w:rPr>
            <w:rStyle w:val="LinkdaInternet"/>
          </w:rPr>
          <w:t>http://189.28.128.100/dab/docs/portaldab/publicacoes/manual_financiamento_aps.pdf</w:t>
        </w:r>
      </w:hyperlink>
    </w:p>
  </w:footnote>
  <w:footnote w:id="4">
    <w:p xmlns:wp14="http://schemas.microsoft.com/office/word/2010/wordml" w14:paraId="2BC23F73" wp14:textId="77777777">
      <w:pPr>
        <w:pStyle w:val="Textodenotaderodap"/>
        <w:rPr/>
      </w:pPr>
      <w:r>
        <w:rPr>
          <w:rStyle w:val="Caracteresdenotaderodap"/>
        </w:rPr>
        <w:footnoteRef/>
      </w:r>
      <w:r>
        <w:rPr/>
        <w:tab/>
      </w:r>
      <w:r>
        <w:rPr/>
        <w:t xml:space="preserve"> </w:t>
      </w:r>
      <w:hyperlink w:tgtFrame="_top" r:id="rId3">
        <w:r>
          <w:rPr>
            <w:rStyle w:val="LinkdaInternet"/>
          </w:rPr>
          <w:t>https://www.saude.ce.gov.br/2021/09/29/campanha-nacional-multivacinacao-busca-intensificar-cobertura-vacinal-em-criancas-e-adolescentes-com-menos-de-15-anos/</w:t>
        </w:r>
      </w:hyperlink>
    </w:p>
  </w:footnote>
  <w:footnote w:id="5">
    <w:p xmlns:wp14="http://schemas.microsoft.com/office/word/2010/wordml" w14:paraId="751CB647" wp14:textId="77777777">
      <w:pPr>
        <w:pStyle w:val="Textodenotaderodap"/>
        <w:rPr/>
      </w:pPr>
      <w:r>
        <w:rPr>
          <w:rStyle w:val="Caracteresdenotaderodap"/>
        </w:rPr>
        <w:footnoteRef/>
      </w:r>
      <w:r>
        <w:rPr/>
        <w:tab/>
      </w:r>
      <w:r>
        <w:rPr/>
        <w:t xml:space="preserve"> </w:t>
      </w:r>
      <w:r>
        <w:rPr/>
        <w:t xml:space="preserve">Disponível em: </w:t>
      </w:r>
      <w:hyperlink w:tgtFrame="_top" r:id="rId4">
        <w:r>
          <w:rPr>
            <w:rStyle w:val="LinkdaInternet"/>
          </w:rPr>
          <w:t>http://189.28.128.100/dab/docs/portaldab/publicacoes/manual_financiamento_aps.pdf</w:t>
        </w:r>
      </w:hyperlink>
      <w:r>
        <w:rPr/>
        <w:t xml:space="preserve"> pags. 40-41.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6B699379" wp14:textId="77777777">
    <w:pPr>
      <w:pStyle w:val="Normal"/>
      <w:rPr>
        <w:b/>
        <w:b/>
        <w:bCs/>
      </w:rPr>
    </w:pPr>
    <w:r>
      <w:rPr/>
      <w:drawing>
        <wp:inline xmlns:wp14="http://schemas.microsoft.com/office/word/2010/wordprocessingDrawing" distT="0" distB="0" distL="0" distR="0" wp14:anchorId="7E4BC4B9" wp14:editId="7777777">
          <wp:extent cx="5759450" cy="52832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14:paraId="2A11624B" wp14:textId="77777777">
    <w:pPr>
      <w:pStyle w:val="Corpodotexto"/>
      <w:spacing w:before="0" w:after="57"/>
      <w:jc w:val="center"/>
      <w:rPr>
        <w:b/>
        <w:b/>
        <w:bCs/>
      </w:rPr>
    </w:pPr>
    <w:r>
      <w:rPr>
        <w:b/>
        <w:bCs/>
      </w:rPr>
      <w:t>CENTRO DE APOIO OPERACIONAL DA SAÚDE – CAOSAÚDE</w:t>
    </w:r>
  </w:p>
  <w:p xmlns:wp14="http://schemas.microsoft.com/office/word/2010/wordml" w14:paraId="3FE9F23F" wp14:textId="77777777">
    <w:pPr>
      <w:pStyle w:val="Corpodotexto"/>
      <w:spacing w:before="0" w:after="57"/>
      <w:jc w:val="center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6"/>
        <w:b/>
        <w:szCs w:val="22"/>
        <w:bCs/>
        <w:rFonts w:cs="Courier New"/>
      </w:r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30433501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421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421" w:hanging="360"/>
      </w:pPr>
      <w:rPr>
        <w:rFonts w:eastAsia="SimSun;宋体" w:cs="Mang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81" w:hanging="720"/>
      </w:pPr>
      <w:rPr>
        <w:rFonts w:eastAsia="SimSun;宋体" w:cs="Mang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720"/>
      </w:pPr>
      <w:rPr>
        <w:rFonts w:eastAsia="SimSun;宋体" w:cs="Mang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1" w:hanging="1080"/>
      </w:pPr>
      <w:rPr>
        <w:rFonts w:eastAsia="SimSun;宋体" w:cs="Mang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41" w:hanging="1080"/>
      </w:pPr>
      <w:rPr>
        <w:rFonts w:eastAsia="SimSun;宋体" w:cs="Mang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1" w:hanging="1440"/>
      </w:pPr>
      <w:rPr>
        <w:rFonts w:eastAsia="SimSun;宋体" w:cs="Mang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01" w:hanging="1440"/>
      </w:pPr>
      <w:rPr>
        <w:rFonts w:eastAsia="SimSun;宋体" w:cs="Mang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61" w:hanging="1800"/>
      </w:pPr>
      <w:rPr>
        <w:rFonts w:eastAsia="SimSun;宋体" w:cs="Mangal"/>
      </w:rPr>
    </w:lvl>
    <w:nsid w:val="97b6998"/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421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42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81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1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41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0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61" w:hanging="1800"/>
      </w:pPr>
    </w:lvl>
    <w:nsid w:val="445cd3d5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30"/>
  <w:displayBackgroundShape/>
  <w:embedSystemFonts/>
  <w:trackRevisions w:val="false"/>
  <w:defaultTabStop w:val="709"/>
  <w:autoHyphenation w:val="true"/>
  <w:hyphenationZone w:val="425"/>
  <w:footnotePr>
    <w:numFmt w:val="decimal"/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FE50CD"/>
    <w:rsid w:val="1AFE50CD"/>
    <w:rsid w:val="679F6547"/>
    <w:rsid w:val="679F6547"/>
    <w:rsid w:val="68DE454C"/>
    <w:rsid w:val="6A7A15AD"/>
    <w:rsid w:val="6C3D54E5"/>
    <w:rsid w:val="6DB1B66F"/>
    <w:rsid w:val="6F082CEB"/>
  </w:rsids>
  <w:themeFontLang w:val="pt-BR" w:eastAsia="ja-JP" w:bidi="ar-SA"/>
  <w14:docId w14:val="174794FF"/>
  <w15:docId w15:val="{4EAEEA87-9CA2-47B4-B399-B38655B10AC6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32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1980" w:hanging="0"/>
      <w:outlineLvl w:val="0"/>
    </w:pPr>
    <w:rPr>
      <w:rFonts w:ascii="Courier New" w:hAnsi="Courier New" w:cs="Courier New"/>
      <w:b/>
      <w:bCs/>
      <w:sz w:val="26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ind w:left="1701" w:hanging="0"/>
      <w:outlineLvl w:val="2"/>
    </w:pPr>
    <w:rPr>
      <w:rFonts w:ascii="Courier New" w:hAnsi="Courier New" w:cs="Courier New"/>
      <w:b/>
      <w:sz w:val="28"/>
      <w:szCs w:val="20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ind w:left="2127" w:hanging="0"/>
      <w:outlineLvl w:val="4"/>
    </w:pPr>
    <w:rPr>
      <w:rFonts w:ascii="Courier New" w:hAnsi="Courier New" w:cs="Courier New"/>
      <w:b/>
      <w:sz w:val="26"/>
      <w:szCs w:val="20"/>
      <w:u w:val="single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>
      <w:rFonts w:ascii="Arial" w:hAnsi="Arial" w:cs="Courier New"/>
      <w:b/>
      <w:bCs/>
      <w:sz w:val="26"/>
      <w:szCs w:val="22"/>
    </w:rPr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>
      <w:rFonts w:ascii="Arial" w:hAnsi="Arial" w:cs="Courier New"/>
      <w:b/>
      <w:bCs/>
      <w:sz w:val="26"/>
      <w:szCs w:val="22"/>
    </w:rPr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OpenSymbol"/>
      <w:kern w:val="2"/>
      <w:sz w:val="24"/>
      <w:szCs w:val="24"/>
      <w:lang w:val="pt" w:eastAsia="pt-BR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Fontepargpadro3" w:customStyle="1">
    <w:name w:val="Fonte parág. padrão3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Fontepargpadro1" w:customStyle="1">
    <w:name w:val="Fonte parág. padrão1"/>
    <w:qFormat/>
    <w:rPr/>
  </w:style>
  <w:style w:type="character" w:styleId="Txttitleblack1" w:customStyle="1">
    <w:name w:val="txttitleblack1"/>
    <w:basedOn w:val="Fontepargpadro1"/>
    <w:qFormat/>
    <w:rPr>
      <w:rFonts w:ascii="Verdana" w:hAnsi="Verdana" w:cs="Verdana"/>
      <w:strike w:val="false"/>
      <w:dstrike w:val="false"/>
      <w:color w:val="000000"/>
      <w:sz w:val="16"/>
      <w:szCs w:val="16"/>
      <w:u w:val="none"/>
    </w:rPr>
  </w:style>
  <w:style w:type="character" w:styleId="Noticiastitulos1" w:customStyle="1">
    <w:name w:val="noticias-titulos1"/>
    <w:basedOn w:val="Fontepargpadro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LinkdaInternet">
    <w:name w:val="Link da Internet"/>
    <w:qFormat/>
    <w:rPr>
      <w:color w:val="0000FF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Spellingerrorscx168548192" w:customStyle="1">
    <w:name w:val="spellingerror scx168548192"/>
    <w:basedOn w:val="Fontepargpadro3"/>
    <w:qFormat/>
    <w:rPr/>
  </w:style>
  <w:style w:type="character" w:styleId="Normaltextrunscx168548192" w:customStyle="1">
    <w:name w:val="normaltextrun scx168548192"/>
    <w:basedOn w:val="Fontepargpadro3"/>
    <w:qFormat/>
    <w:rPr/>
  </w:style>
  <w:style w:type="character" w:styleId="Appleconvertedspace" w:customStyle="1">
    <w:name w:val="apple-converted-space"/>
    <w:basedOn w:val="Fontepargpadro3"/>
    <w:qFormat/>
    <w:rPr/>
  </w:style>
  <w:style w:type="character" w:styleId="Strong">
    <w:name w:val="Strong"/>
    <w:basedOn w:val="Fontepargpadro3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link w:val="Rodap"/>
    <w:uiPriority w:val="99"/>
    <w:qFormat/>
    <w:rsid w:val="00601a66"/>
    <w:rPr>
      <w:kern w:val="2"/>
      <w:sz w:val="24"/>
      <w:szCs w:val="24"/>
      <w:lang w:eastAsia="zh-CN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755998"/>
    <w:rPr>
      <w:rFonts w:ascii="Calibri" w:hAnsi="Calibri" w:eastAsia="Calibri" w:cs="Arial" w:asciiTheme="minorHAnsi" w:hAnsiTheme="minorHAnsi" w:eastAsiaTheme="minorHAnsi" w:cstheme="minorBidi"/>
      <w:lang w:eastAsia="en-US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5599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c2703"/>
    <w:rPr>
      <w:color w:val="605E5C"/>
      <w:shd w:val="clear" w:fill="E1DFDD"/>
    </w:rPr>
  </w:style>
  <w:style w:type="character" w:styleId="Caracteresdenotaderodap">
    <w:name w:val="Caracteres de nota de rodapé"/>
    <w:qFormat/>
    <w:rPr/>
  </w:style>
  <w:style w:type="character" w:styleId="Fontepargpadro">
    <w:name w:val="Fonte parág. padrão"/>
    <w:qFormat/>
    <w:rPr/>
  </w:style>
  <w:style w:type="character" w:styleId="Normaltextrun">
    <w:name w:val="normaltextrun"/>
    <w:basedOn w:val="Fontepargpadro"/>
    <w:qFormat/>
    <w:rPr/>
  </w:style>
  <w:style w:type="character" w:styleId="Linkdainternetvisitado">
    <w:name w:val="Link da internet visitado"/>
    <w:rPr>
      <w:color w:val="954F72"/>
      <w:u w:val="single"/>
    </w:rPr>
  </w:style>
  <w:style w:type="character" w:styleId="Refdenotaderodap">
    <w:name w:val="Ref. de nota de rodapé"/>
    <w:qFormat/>
    <w:rPr>
      <w:vertAlign w:val="superscript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2">
    <w:name w:val="WW_CharLFO2LVL2"/>
    <w:qFormat/>
    <w:rPr>
      <w:rFonts w:eastAsia="SimSun;宋体" w:cs="Mangal"/>
    </w:rPr>
  </w:style>
  <w:style w:type="character" w:styleId="WWCharLFO2LVL3">
    <w:name w:val="WW_CharLFO2LVL3"/>
    <w:qFormat/>
    <w:rPr>
      <w:rFonts w:eastAsia="SimSun;宋体" w:cs="Mangal"/>
    </w:rPr>
  </w:style>
  <w:style w:type="character" w:styleId="WWCharLFO2LVL4">
    <w:name w:val="WW_CharLFO2LVL4"/>
    <w:qFormat/>
    <w:rPr>
      <w:rFonts w:eastAsia="SimSun;宋体" w:cs="Mangal"/>
    </w:rPr>
  </w:style>
  <w:style w:type="character" w:styleId="WWCharLFO2LVL5">
    <w:name w:val="WW_CharLFO2LVL5"/>
    <w:qFormat/>
    <w:rPr>
      <w:rFonts w:eastAsia="SimSun;宋体" w:cs="Mangal"/>
    </w:rPr>
  </w:style>
  <w:style w:type="character" w:styleId="WWCharLFO2LVL6">
    <w:name w:val="WW_CharLFO2LVL6"/>
    <w:qFormat/>
    <w:rPr>
      <w:rFonts w:eastAsia="SimSun;宋体" w:cs="Mangal"/>
    </w:rPr>
  </w:style>
  <w:style w:type="character" w:styleId="WWCharLFO2LVL7">
    <w:name w:val="WW_CharLFO2LVL7"/>
    <w:qFormat/>
    <w:rPr>
      <w:rFonts w:eastAsia="SimSun;宋体" w:cs="Mangal"/>
    </w:rPr>
  </w:style>
  <w:style w:type="character" w:styleId="WWCharLFO2LVL8">
    <w:name w:val="WW_CharLFO2LVL8"/>
    <w:qFormat/>
    <w:rPr>
      <w:rFonts w:eastAsia="SimSun;宋体" w:cs="Mangal"/>
    </w:rPr>
  </w:style>
  <w:style w:type="character" w:styleId="WWCharLFO2LVL9">
    <w:name w:val="WW_CharLFO2LVL9"/>
    <w:qFormat/>
    <w:rPr>
      <w:rFonts w:eastAsia="SimSun;宋体" w:cs="Mangal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leader="none" w:pos="4419"/>
        <w:tab w:val="right" w:leader="none" w:pos="8838"/>
      </w:tabs>
    </w:pPr>
    <w:rPr/>
  </w:style>
  <w:style w:type="paragraph" w:styleId="Rodap">
    <w:name w:val="Footer"/>
    <w:basedOn w:val="Normal"/>
    <w:link w:val="RodapChar"/>
    <w:uiPriority w:val="99"/>
    <w:pPr>
      <w:tabs>
        <w:tab w:val="clear" w:pos="709"/>
        <w:tab w:val="center" w:leader="none" w:pos="4419"/>
        <w:tab w:val="right" w:leader="none" w:pos="8838"/>
      </w:tabs>
    </w:pPr>
    <w:rPr/>
  </w:style>
  <w:style w:type="paragraph" w:styleId="Corpodotextorecuado">
    <w:name w:val="Body Text Indent"/>
    <w:basedOn w:val="Normal"/>
    <w:pPr>
      <w:ind w:left="1701" w:hanging="0"/>
      <w:jc w:val="both"/>
    </w:pPr>
    <w:rPr>
      <w:rFonts w:ascii="Courier New" w:hAnsi="Courier New" w:cs="Courier New"/>
      <w:sz w:val="28"/>
      <w:szCs w:val="20"/>
    </w:rPr>
  </w:style>
  <w:style w:type="paragraph" w:styleId="Recuodecorpodetexto31" w:customStyle="1">
    <w:name w:val="Recuo de corpo de texto 31"/>
    <w:basedOn w:val="Normal"/>
    <w:qFormat/>
    <w:pPr>
      <w:ind w:firstLine="1985"/>
      <w:jc w:val="both"/>
    </w:pPr>
    <w:rPr>
      <w:rFonts w:ascii="Courier New" w:hAnsi="Courier New" w:cs="Courier New"/>
      <w:sz w:val="28"/>
      <w:szCs w:val="20"/>
    </w:rPr>
  </w:style>
  <w:style w:type="paragraph" w:styleId="Recuodecorpodetexto21" w:customStyle="1">
    <w:name w:val="Recuo de corpo de texto 21"/>
    <w:basedOn w:val="Normal"/>
    <w:qFormat/>
    <w:pPr>
      <w:ind w:firstLine="2127"/>
      <w:jc w:val="both"/>
    </w:pPr>
    <w:rPr>
      <w:rFonts w:ascii="Courier New" w:hAnsi="Courier New" w:cs="Courier New"/>
      <w:sz w:val="28"/>
      <w:szCs w:val="20"/>
    </w:rPr>
  </w:style>
  <w:style w:type="paragraph" w:styleId="Noticiasdescricao" w:customStyle="1">
    <w:name w:val="noticias-descricao"/>
    <w:basedOn w:val="Normal"/>
    <w:qFormat/>
    <w:pPr>
      <w:spacing w:before="100" w:after="100"/>
    </w:pPr>
    <w:rPr/>
  </w:style>
  <w:style w:type="paragraph" w:styleId="Recuodecorpodetexto22" w:customStyle="1">
    <w:name w:val="Recuo de corpo de texto 22"/>
    <w:basedOn w:val="Normal"/>
    <w:qFormat/>
    <w:pPr>
      <w:ind w:firstLine="2127"/>
      <w:jc w:val="both"/>
    </w:pPr>
    <w:rPr>
      <w:rFonts w:ascii="Courier New" w:hAnsi="Courier New" w:cs="Courier New"/>
      <w:sz w:val="28"/>
      <w:szCs w:val="20"/>
    </w:rPr>
  </w:style>
  <w:style w:type="paragraph" w:styleId="Recuodecorpodetexto32" w:customStyle="1">
    <w:name w:val="Recuo de corpo de texto 32"/>
    <w:basedOn w:val="Normal"/>
    <w:qFormat/>
    <w:pPr>
      <w:ind w:firstLine="1985"/>
      <w:jc w:val="both"/>
    </w:pPr>
    <w:rPr>
      <w:rFonts w:ascii="Courier New" w:hAnsi="Courier New" w:cs="Courier New"/>
      <w:sz w:val="28"/>
      <w:szCs w:val="20"/>
    </w:rPr>
  </w:style>
  <w:style w:type="paragraph" w:styleId="Subttulo">
    <w:name w:val="Subtitle"/>
    <w:basedOn w:val="Captulo"/>
    <w:next w:val="Corpodotexto"/>
    <w:qFormat/>
    <w:pPr>
      <w:jc w:val="center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Paragraphscx168548192" w:customStyle="1">
    <w:name w:val="paragraph scx168548192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012d46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755998"/>
    <w:pPr>
      <w:suppressAutoHyphens w:val="false"/>
    </w:pPr>
    <w:rPr>
      <w:rFonts w:ascii="Calibri" w:hAnsi="Calibri" w:eastAsia="Calibri" w:cs="Arial" w:asciiTheme="minorHAnsi" w:hAnsiTheme="minorHAnsi" w:eastAsiaTheme="minorHAnsi" w:cstheme="minorBidi"/>
      <w:kern w:val="0"/>
      <w:sz w:val="20"/>
      <w:szCs w:val="20"/>
      <w:lang w:eastAsia="en-US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 w:line="100" w:lineRule="atLeast"/>
      <w:jc w:val="left"/>
      <w:textAlignment w:val="baseline"/>
    </w:pPr>
    <w:rPr>
      <w:rFonts w:ascii="Times New Roman" w:hAnsi="Times New Roman" w:eastAsia="SimSun;宋体" w:cs="Mangal"/>
      <w:color w:val="00000A"/>
      <w:kern w:val="2"/>
      <w:sz w:val="24"/>
      <w:szCs w:val="24"/>
      <w:lang w:val="pt-BR" w:eastAsia="zh-CN" w:bidi="hi-IN"/>
    </w:rPr>
  </w:style>
  <w:style w:type="paragraph" w:styleId="Textodenotaderodap">
    <w:name w:val="Texto de nota de rodapé"/>
    <w:basedOn w:val="LONormal"/>
    <w:qFormat/>
    <w:pPr>
      <w:suppressLineNumbers/>
      <w:tabs>
        <w:tab w:val="clear" w:pos="709"/>
      </w:tabs>
      <w:suppressAutoHyphens w:val="true"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aps.saude.gov.br/gestor/financiamento" TargetMode="External" Id="rId2" /><Relationship Type="http://schemas.openxmlformats.org/officeDocument/2006/relationships/hyperlink" Target="https://sisab.saude.gov.br/" TargetMode="Externa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footnotes" Target="footnotes.xml" Id="rId6" /><Relationship Type="http://schemas.openxmlformats.org/officeDocument/2006/relationships/numbering" Target="numbering.xml" Id="rId7" /><Relationship Type="http://schemas.openxmlformats.org/officeDocument/2006/relationships/fontTable" Target="fontTable.xml" Id="rId8" /><Relationship Type="http://schemas.openxmlformats.org/officeDocument/2006/relationships/settings" Target="settings.xml" Id="rId9" /><Relationship Type="http://schemas.openxmlformats.org/officeDocument/2006/relationships/theme" Target="theme/theme1.xml" Id="rId10" /><Relationship Type="http://schemas.openxmlformats.org/officeDocument/2006/relationships/customXml" Target="../customXml/item1.xml" Id="rId11" /><Relationship Type="http://schemas.openxmlformats.org/officeDocument/2006/relationships/customXml" Target="../customXml/item2.xml" Id="rId12" /><Relationship Type="http://schemas.openxmlformats.org/officeDocument/2006/relationships/customXml" Target="../customXml/item3.xml" Id="rId13" /><Relationship Type="http://schemas.openxmlformats.org/officeDocument/2006/relationships/customXml" Target="../customXml/item4.xml" Id="rId14" /><Relationship Type="http://schemas.openxmlformats.org/officeDocument/2006/relationships/customXml" Target="../customXml/item5.xml" Id="rId15" 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189.28.128.100/dab/docs/portaldab/publicacoes/manual_financiamento_aps.pdf" TargetMode="External"/><Relationship Id="rId2" Type="http://schemas.openxmlformats.org/officeDocument/2006/relationships/hyperlink" Target="http://189.28.128.100/dab/docs/portaldab/publicacoes/manual_financiamento_aps.pdf" TargetMode="External"/><Relationship Id="rId3" Type="http://schemas.openxmlformats.org/officeDocument/2006/relationships/hyperlink" Target="https://www.saude.ce.gov.br/2021/09/29/campanha-nacional-multivacinacao-busca-intensificar-cobertura-vacinal-em-criancas-e-adolescentes-com-menos-de-15-anos/" TargetMode="External"/><Relationship Id="rId4" Type="http://schemas.openxmlformats.org/officeDocument/2006/relationships/hyperlink" Target="http://189.28.128.100/dab/docs/portaldab/publicacoes/manual_financiamento_aps.pdf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826c6-e447-4bf9-bdb5-85201d3b2bf7" xsi:nil="true"/>
    <lcf76f155ced4ddcb4097134ff3c332f xmlns="2ab43680-45a3-4f42-b7ea-416280960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6B3270C43598489DE42F682EBF567F" ma:contentTypeVersion="16" ma:contentTypeDescription="Crie um novo documento." ma:contentTypeScope="" ma:versionID="86642ef00e39832e157865fe1f95e3a9">
  <xsd:schema xmlns:xsd="http://www.w3.org/2001/XMLSchema" xmlns:xs="http://www.w3.org/2001/XMLSchema" xmlns:p="http://schemas.microsoft.com/office/2006/metadata/properties" xmlns:ns2="2ab43680-45a3-4f42-b7ea-416280960052" xmlns:ns3="0454bb23-75f9-49b4-8f49-28facf1b264c" xmlns:ns4="d71826c6-e447-4bf9-bdb5-85201d3b2bf7" targetNamespace="http://schemas.microsoft.com/office/2006/metadata/properties" ma:root="true" ma:fieldsID="531378b45db6c7dd0b612b26e5f0dacb" ns2:_="" ns3:_="" ns4:_="">
    <xsd:import namespace="2ab43680-45a3-4f42-b7ea-416280960052"/>
    <xsd:import namespace="0454bb23-75f9-49b4-8f49-28facf1b264c"/>
    <xsd:import namespace="d71826c6-e447-4bf9-bdb5-85201d3b2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3680-45a3-4f42-b7ea-416280960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f255419-c566-42b2-8349-0f1d37888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4bb23-75f9-49b4-8f49-28facf1b2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26c6-e447-4bf9-bdb5-85201d3b2b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c362fc7-2a2e-49d5-a1ad-20fea67d84a9}" ma:internalName="TaxCatchAll" ma:showField="CatchAllData" ma:web="d71826c6-e447-4bf9-bdb5-85201d3b2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FAC2E2-0869-42A0-9EE7-2E540D9D5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3330AA-5DC0-4726-9F4D-806ACC912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056D7-13F1-43F2-8A14-9BD0C6DF2C43}"/>
</file>

<file path=customXml/itemProps4.xml><?xml version="1.0" encoding="utf-8"?>
<ds:datastoreItem xmlns:ds="http://schemas.openxmlformats.org/officeDocument/2006/customXml" ds:itemID="{F191849E-2265-4D03-B72B-0E4853EEE8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67520C-1333-42A4-9805-8E0C464FEF60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01394068-6:</dc:title>
  <dc:subject/>
  <dc:creator>rafael.assuncao</dc:creator>
  <dc:description/>
  <cp:lastModifiedBy>Ana Karine Serra Leopércio</cp:lastModifiedBy>
  <cp:revision>8</cp:revision>
  <cp:lastPrinted>2019-01-16T00:34:00Z</cp:lastPrinted>
  <dcterms:created xsi:type="dcterms:W3CDTF">2021-08-30T17:31:00Z</dcterms:created>
  <dcterms:modified xsi:type="dcterms:W3CDTF">2022-08-05T17:10:23Z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0x010100BA6B3270C43598489DE42F682EBF567F</vt:lpwstr>
  </property>
  <property fmtid="{D5CDD505-2E9C-101B-9397-08002B2CF9AE}" pid="4" name="Order">
    <vt:r8>544200</vt:r8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_SharedFileIndex">
    <vt:lpwstr/>
  </property>
  <property fmtid="{D5CDD505-2E9C-101B-9397-08002B2CF9AE}" pid="8" name="_SourceUrl">
    <vt:lpwstr/>
  </property>
  <property fmtid="{D5CDD505-2E9C-101B-9397-08002B2CF9AE}" pid="9" name="display_urn:schemas-microsoft-com:office:office#Author">
    <vt:lpwstr>Roberto Bruno Pereira Silva</vt:lpwstr>
  </property>
  <property fmtid="{D5CDD505-2E9C-101B-9397-08002B2CF9AE}" pid="10" name="display_urn:schemas-microsoft-com:office:office#Editor">
    <vt:lpwstr>Roberto Bruno Pereira Silva</vt:lpwstr>
  </property>
  <property fmtid="{D5CDD505-2E9C-101B-9397-08002B2CF9AE}" pid="11" name="xd_ProgID">
    <vt:lpwstr/>
  </property>
  <property fmtid="{D5CDD505-2E9C-101B-9397-08002B2CF9AE}" pid="12" name="xd_Signature">
    <vt:bool>false</vt:bool>
  </property>
  <property fmtid="{D5CDD505-2E9C-101B-9397-08002B2CF9AE}" pid="13" name="MediaServiceImageTags">
    <vt:lpwstr/>
  </property>
</Properties>
</file>