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0"/>
        <w:jc w:val="center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0"/>
        <w:jc w:val="center"/>
        <w:rPr/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PORTARIA Nº </w:t>
      </w:r>
      <w:r>
        <w:rPr>
          <w:rFonts w:cs="Calibri" w:ascii="Times New Roman" w:hAnsi="Times New Roman"/>
          <w:b/>
          <w:bCs/>
          <w:sz w:val="24"/>
          <w:szCs w:val="24"/>
          <w:highlight w:val="yellow"/>
        </w:rPr>
        <w:t>**/202*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0"/>
        <w:jc w:val="center"/>
        <w:rPr>
          <w:rFonts w:ascii="Times New Roman" w:hAnsi="Times New Roman" w:cs="Calibri"/>
          <w:b/>
          <w:bCs/>
          <w:sz w:val="24"/>
          <w:szCs w:val="24"/>
          <w:highlight w:val="yellow"/>
        </w:rPr>
      </w:pPr>
      <w:r>
        <w:rPr>
          <w:rFonts w:cs="Calibri" w:ascii="Times New Roman" w:hAnsi="Times New Roman"/>
          <w:b/>
          <w:bCs/>
          <w:sz w:val="24"/>
          <w:szCs w:val="24"/>
          <w:highlight w:val="yellow"/>
        </w:rPr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yellow"/>
          <w:u w:val="single"/>
          <w:lang w:bidi="pt-BR"/>
        </w:rPr>
        <w:t>PROCEDIMENTO ADMINISTRATIVO Nº **/202*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7"/>
        <w:numPr>
          <w:ilvl w:val="6"/>
          <w:numId w:val="2"/>
        </w:numPr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andard2"/>
        <w:widowControl/>
        <w:suppressAutoHyphens w:val="true"/>
        <w:overflowPunct w:val="false"/>
        <w:bidi w:val="0"/>
        <w:spacing w:lineRule="auto" w:line="360" w:before="57" w:after="57"/>
        <w:ind w:firstLine="1701" w:left="0" w:right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O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MINISTÉRIO PÚBLICO DO ESTADO DO CEARÁ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, por seu membro adiante assinado, no uso das atribuições legais e constitucionais conferidas pelos arts. 127 e 129, ambos da Constituição Federal de 1988, art. 130, III, da Constituição do Estado do Ceará, art. 26, I, da Lei nº 8.625/93 e na Resolução nº 007/2010, do Colégio de Procuradores de Justiça do Estado do Ceará, bem assim disposições do Manual de Taxonomia do Conselho Nacional do Ministério Público, e</w:t>
      </w:r>
    </w:p>
    <w:p>
      <w:pPr>
        <w:pStyle w:val="BodyText"/>
        <w:widowControl/>
        <w:numPr>
          <w:ilvl w:val="0"/>
          <w:numId w:val="3"/>
        </w:numPr>
        <w:suppressAutoHyphens w:val="true"/>
        <w:bidi w:val="0"/>
        <w:spacing w:lineRule="auto" w:line="360" w:before="113" w:after="113"/>
        <w:ind w:firstLine="1701" w:left="0" w:right="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 w:bidi="pt-BR"/>
        </w:rPr>
      </w:pPr>
      <w:r>
        <w:rPr>
          <w:rFonts w:eastAsia="Times New Roman" w:cs="Times New Roman" w:ascii="Times New Roman" w:hAnsi="Times New Roman"/>
          <w:b/>
          <w:color w:val="000000"/>
          <w:lang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lang w:bidi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 w:bidi="pt-BR"/>
        </w:rPr>
        <w:t>que o Ministério Público é instituição permanente, essencial à função jurisdicional do Estado, incumbindo-lhe a defesa da ordem jurídica, do regime democrático e dos interesses sociais e individuais indisponíveis, sendo seu dever zelar pelo efetivo respeito dos Poderes Públicos e dos serviços de relevância pública aos direitos assegurados na Constituição Federal, promovendo as medidas necessárias a sua garantia e promover o inquérito civil e a ação civil pública, para a proteção do patrimônio público e social, do meio ambiente e de outros interesses difusos e coletivos;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113" w:after="113"/>
        <w:ind w:firstLine="1701" w:left="0" w:right="0"/>
        <w:jc w:val="both"/>
        <w:rPr>
          <w:rFonts w:ascii="Times New Roman" w:hAnsi="Times New Roman" w:eastAsia="Times New Roman" w:cs="Times New Roman"/>
          <w:b/>
          <w:color w:val="000000"/>
          <w:kern w:val="0"/>
          <w:lang w:eastAsia="pt-BR" w:bidi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que ao Ministério Público cabe exercer a defesa dos direitos assegurados na Constituição Federal sempre que for necessária a garantia do seu respeito pelos poderes municipais, nos termos do artigo 27, inciso I da Lei nº 8.625/93;</w:t>
      </w:r>
    </w:p>
    <w:p>
      <w:pPr>
        <w:pStyle w:val="BodyText"/>
        <w:widowControl/>
        <w:numPr>
          <w:ilvl w:val="0"/>
          <w:numId w:val="3"/>
        </w:numPr>
        <w:suppressAutoHyphens w:val="true"/>
        <w:bidi w:val="0"/>
        <w:spacing w:lineRule="auto" w:line="360" w:before="113" w:after="113"/>
        <w:ind w:firstLine="1701" w:left="0" w:right="0"/>
        <w:jc w:val="both"/>
        <w:rPr>
          <w:rFonts w:ascii="Times New Roman" w:hAnsi="Times New Roman" w:cs="Times New Roman"/>
          <w:b/>
          <w:bCs/>
          <w:kern w:val="0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lang w:eastAsia="pt-BR"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que o art. 8º, inciso II da Resolução nº 174/2017 do Conselho Nacional do Ministério Público – CNMP, define como uma das finalidades do Procedimento Administrativo o acompanhamento de forma continuada de políticas públicas e/ou instituições;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bCs/>
          <w:kern w:val="0"/>
          <w:lang w:eastAsia="pt-BR"/>
        </w:rPr>
        <w:t>CONSIDERANDO</w:t>
      </w:r>
      <w:r>
        <w:rPr>
          <w:rFonts w:cs="Times New Roman" w:ascii="Times New Roman" w:hAnsi="Times New Roman"/>
          <w:kern w:val="0"/>
          <w:lang w:eastAsia="pt-BR"/>
        </w:rPr>
        <w:t xml:space="preserve"> que ao Ministério Público cabe exercer a defesa dos direitos assegurados na Constituição Federal, sempre que for necessária a garantia de seu respeito pelos poderes constituídos, nos termos do artigo 27, inciso I da Lei nº 8.625/93;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o que dispõe o artigo 205, da Constituição Federal: “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eastAsia="pt-BR"/>
        </w:rPr>
        <w:t>A educação, direito de todos e dever do Estado</w:t>
      </w:r>
      <w:r>
        <w:rPr>
          <w:rFonts w:cs="Times New Roman" w:ascii="Times New Roman" w:hAnsi="Times New Roman"/>
          <w:b w:val="false"/>
          <w:i/>
          <w:iCs/>
          <w:color w:val="000000"/>
          <w:kern w:val="0"/>
          <w:sz w:val="24"/>
          <w:szCs w:val="24"/>
          <w:lang w:eastAsia="pt-BR"/>
        </w:rPr>
        <w:t xml:space="preserve"> e da família, será promovida e incentivada com a colaboração da sociedade, visando ao pleno desenvolvimento da pessoa, seu preparo para o exercício da cidadania e sua qualificação para o trabalho”</w:t>
      </w:r>
      <w:r>
        <w:rPr>
          <w:rFonts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pt-BR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color w:val="000000"/>
          <w:spacing w:val="-3"/>
          <w:sz w:val="24"/>
          <w:szCs w:val="24"/>
        </w:rPr>
        <w:t xml:space="preserve">CONSIDERANDO 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que a educação de qualidade é direito fundamental do ser humano, inserida no rol de direitos sociais, </w:t>
      </w:r>
      <w:r>
        <w:rPr>
          <w:rFonts w:cs="Times New Roman" w:ascii="Times New Roman" w:hAnsi="Times New Roman"/>
          <w:b w:val="false"/>
          <w:color w:val="00000A"/>
          <w:spacing w:val="-3"/>
          <w:sz w:val="24"/>
          <w:szCs w:val="24"/>
          <w:lang w:bidi="ar-SA"/>
        </w:rPr>
        <w:t>consoante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firmado no artigo 6ª da Constituição</w:t>
      </w:r>
      <w:r>
        <w:rPr>
          <w:rFonts w:cs="Times New Roman" w:ascii="Times New Roman" w:hAnsi="Times New Roman"/>
          <w:b w:val="false"/>
          <w:color w:val="000000"/>
          <w:spacing w:val="-2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>Federal de 1988;</w:t>
      </w:r>
    </w:p>
    <w:p>
      <w:pPr>
        <w:pStyle w:val="LO-Normal11"/>
        <w:widowControl w:val="false"/>
        <w:suppressLineNumbers w:val="0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CONSIDERANDO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que a Lei nº 9.394/96 (Lei de Diretrizes e Bases da Educação Nacional) estabelece 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4"/>
          <w:szCs w:val="24"/>
        </w:rPr>
        <w:t>oferta de educação escolar regular para jovens e adultos, com características e modalidades adequadas às suas necessidades e disponibilidades, garantindo-se aos que forem trabalhadores as condições de acesso e permanência na escola (art. 4º, inciso VII)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; </w:t>
      </w:r>
    </w:p>
    <w:p>
      <w:pPr>
        <w:pStyle w:val="LO-Normal11"/>
        <w:spacing w:lineRule="auto" w:line="360" w:before="40" w:after="40"/>
        <w:ind w:firstLine="1701" w:left="0" w:right="0"/>
        <w:jc w:val="both"/>
        <w:rPr>
          <w:rFonts w:eastAsia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lang w:val="pt-PT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themeColor="dark1" w:val="000000"/>
          <w:spacing w:val="-3"/>
          <w:sz w:val="24"/>
          <w:szCs w:val="24"/>
          <w:lang w:val="pt-PT"/>
        </w:rPr>
        <w:t>CONSIDERANDO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dark1" w:val="000000"/>
          <w:spacing w:val="-3"/>
          <w:sz w:val="24"/>
          <w:szCs w:val="24"/>
          <w:lang w:val="pt-PT"/>
        </w:rPr>
        <w:t xml:space="preserve"> que o Plano Nacional de Educação, aprovado por meio da Lei nº 13.005/2014, e prorrogado até 31 de dezembro de 2025 pela Lei nº 14.934/2024, apresenta, dentre suas estratégias, programas de educação de jovens e adultos para os segmentos populacionais considerados, que estejam fora da escola e com defasagem idade-série, associados a outras estratégias que garantam a continuidade da escolarização, após a alfabetização inicial;</w:t>
      </w:r>
    </w:p>
    <w:p>
      <w:pPr>
        <w:pStyle w:val="LO-Normal11"/>
        <w:widowControl w:val="false"/>
        <w:suppressLineNumbers w:val="0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 xml:space="preserve">CONSIDERANDO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3"/>
          <w:sz w:val="24"/>
          <w:szCs w:val="24"/>
          <w:lang w:val="pt-BR" w:eastAsia="zh-CN" w:bidi="hi-IN"/>
        </w:rPr>
        <w:t>o Pacto Nacional pela Superação do Analfabetismo e Qualificação na Educação de Jovens e Adultos, cujo objetivo é superar o analfabetismo, elevar a escolaridade e ampliar a oferta de matrículas na EJA nos sistemas públicos de ensino, inclusive entre os estudantes privados de liberdade;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CONSIDERANDO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que nos termos do art. 37 da Lei nº 9.394/96, a "educação de jovens e adultos será destinada àqueles que não tiveram acesso ou continuidade de estudos nos ensinos fundamental e médio na idade própria e constituirá instrumento para a educação e a aprendizagem ao longo da vida";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644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a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Resolução CNE/CEB nº 3, de 8 de abril de 2025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, que institui as Diretrizes Operacionais Nacionais para a Educação de Jovens e Adultos – EJA.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a Resoluç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 w:eastAsia="zh-CN" w:bidi="hi-IN"/>
        </w:rPr>
        <w:t>ão nº 438/2012 do Conselho Estadual de Educação do Ceará, que dispõe sobre a Educação de Jovens e Adultos;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que a Resoluç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 w:eastAsia="zh-CN" w:bidi="hi-IN"/>
        </w:rPr>
        <w:t>ão nº 488/2021 do Conselho Estadual de Educação estabelece normas complementares para regulamentar a oferta de cursos e programas de Ensino Médio, de Educação Profissional Técnica de Nível Médio, e de Educação de Jovens e Adultos (EJA), nas etapas do Ensino Fundamental e do Ensino Médio, na Educação Especial na modalidade de Educação a Distância (EaD), para o Sistema de Ensino do Estado do Ceará, e dá outras providências;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lang w:val="pt-BR" w:eastAsia="zh-CN" w:bidi="hi-IN"/>
        </w:rPr>
        <w:t>CONSIDERANDO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pt-BR" w:eastAsia="zh-CN" w:bidi="hi-IN"/>
        </w:rPr>
        <w:t xml:space="preserve"> o Parecer nº 0709/2017, de 5 de setembro de 2017, da Câmara de Educação Básica do Conselho Estadual de Educação do Ceará, que autoriza a Secretaria da Educação do Estado do Ceará a viabilizar a certificação de conclusão do curso de ensino fundamental dos jovens e adultos aprovados no Exame Nacional de Certificação de Competências (Encceja), por meio dos Centros de Educação de Jovens e Adultos (Cejas), ampliando a certificação de conclusão ou declaração de proficiência em uma ou mais disciplinas para os candidatos aprovados no curso do ensino médio desse Exame, em todo o Estado do Ceará;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lang w:val="pt-PT"/>
        </w:rPr>
        <w:t>CONSIDERANDO</w:t>
      </w:r>
      <w:r>
        <w:rPr>
          <w:rFonts w:eastAsia="Times New Roman" w:cs="Times New Roman" w:ascii="Times New Roman" w:hAnsi="Times New Roman"/>
          <w:lang w:val="pt-PT"/>
        </w:rPr>
        <w:t>, por fim, os dados apresentados pelo IBGE no censo demográfico de 2022 indicam que o Ceará tem o dobro da média nacional de analfabetos (7%) com 14,1% dos cearenses de 15 anos ou mais, cerca de 987 mil pessoas, não sabem ler nem escrever, a quinta maior taxa de analfabetismo do país.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left="0" w:right="0"/>
        <w:jc w:val="both"/>
        <w:rPr>
          <w:rFonts w:ascii="Times New Roman" w:hAnsi="Times New Roman" w:eastAsia="Times New Roman" w:cs="Times New Roman"/>
          <w:color w:themeColor="dark1" w:val="000000"/>
          <w:lang w:val="pt-PT"/>
        </w:rPr>
      </w:pPr>
      <w:r>
        <w:rPr>
          <w:rFonts w:eastAsia="Times New Roman" w:cs="Times New Roman" w:ascii="Times New Roman" w:hAnsi="Times New Roman"/>
          <w:color w:themeColor="dark1" w:val="000000"/>
          <w:lang w:val="pt-PT"/>
        </w:rPr>
      </w:r>
    </w:p>
    <w:p>
      <w:pPr>
        <w:pStyle w:val="Normal"/>
        <w:widowControl w:val="false"/>
        <w:suppressAutoHyphens w:val="true"/>
        <w:bidi w:val="0"/>
        <w:spacing w:lineRule="auto" w:line="360" w:before="40" w:after="40"/>
        <w:ind w:firstLine="1134" w:left="0" w:right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lineRule="auto" w:line="360" w:before="40" w:after="40"/>
        <w:ind w:firstLine="1134" w:left="0" w:right="0"/>
        <w:jc w:val="both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ab/>
      </w:r>
      <w:r>
        <w:rPr>
          <w:rStyle w:val="Fontepargpadro1"/>
          <w:rFonts w:eastAsia="Times New Roman" w:cs="Times New Roman" w:ascii="Times New Roman" w:hAnsi="Times New Roman"/>
          <w:b/>
          <w:bCs/>
          <w:color w:val="000000"/>
          <w:u w:val="single"/>
        </w:rPr>
        <w:t>RESOLVE:</w:t>
      </w:r>
    </w:p>
    <w:p>
      <w:pPr>
        <w:pStyle w:val="Normal"/>
        <w:spacing w:lineRule="auto" w:line="360" w:before="40" w:after="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40" w:after="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lineRule="auto" w:line="360" w:before="40" w:after="40"/>
        <w:ind w:firstLine="1134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pt-BR"/>
        </w:rPr>
        <w:t>Art. 1º.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/>
        </w:rPr>
        <w:t>Instaurar PROCEDIMENTO ADMINISTRAT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 xml:space="preserve">IVO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00" w:val="clear"/>
          <w:lang w:val="pt-BR"/>
        </w:rPr>
        <w:t>nº [Nº ****** MP]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>, tendo por objetivo acompanhar a implementação da Educaç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ão de Jovens e Adultos (EJA)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 xml:space="preserve"> no município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FFFF00" w:val="clear"/>
          <w:lang w:val="pt-BR" w:eastAsia="pt-BR"/>
        </w:rPr>
        <w:t>*********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>pela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 xml:space="preserve"> rede pública municipal de ensino e nas escolas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 da rede estadual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360" w:before="40" w:after="40"/>
        <w:ind w:firstLine="1134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</w:r>
    </w:p>
    <w:p>
      <w:pPr>
        <w:pStyle w:val="Normal"/>
        <w:widowControl w:val="false"/>
        <w:suppressAutoHyphens w:val="true"/>
        <w:bidi w:val="0"/>
        <w:spacing w:lineRule="auto" w:line="360" w:before="40" w:after="40"/>
        <w:ind w:firstLine="1134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pt-BR"/>
        </w:rPr>
        <w:t>Art. 2º.</w:t>
      </w:r>
      <w:r>
        <w:rPr>
          <w:rFonts w:eastAsia="Times New Roman" w:cs="Times New Roman" w:ascii="Times New Roman" w:hAnsi="Times New Roman"/>
          <w:b/>
          <w:bCs w:val="false"/>
          <w:color w:val="000000"/>
          <w:kern w:val="0"/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Nomear 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kern w:val="0"/>
          <w:sz w:val="24"/>
          <w:szCs w:val="24"/>
          <w:highlight w:val="yellow"/>
          <w:lang w:val="pt-BR" w:eastAsia="pt-BR"/>
        </w:rPr>
        <w:t>**********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lang w:val="pt-BR" w:eastAsia="pt-BR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 Técnico(a) Ministerial 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kern w:val="0"/>
          <w:sz w:val="24"/>
          <w:szCs w:val="24"/>
          <w:highlight w:val="yellow"/>
          <w:lang w:val="pt-BR" w:eastAsia="pt-BR"/>
        </w:rPr>
        <w:t>(ou servidor cedido)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 lotado(a) nesta Promotoria de Justiça, para secretariar os trabalhos e cumprir as diligências, os quais serão desenvolvidos nos autos, razão pela qual determino que se expeça o Termo de Compromisso para ser assinado.</w:t>
      </w:r>
    </w:p>
    <w:p>
      <w:pPr>
        <w:pStyle w:val="Normal"/>
        <w:widowControl w:val="false"/>
        <w:suppressAutoHyphens w:val="true"/>
        <w:bidi w:val="0"/>
        <w:spacing w:lineRule="auto" w:line="360" w:before="40" w:after="40"/>
        <w:ind w:firstLine="1134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</w:r>
    </w:p>
    <w:p>
      <w:pPr>
        <w:pStyle w:val="NormalWeb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firstLine="1134" w:left="0" w:right="0"/>
        <w:jc w:val="both"/>
        <w:rPr>
          <w:rStyle w:val="Fontepargpadro"/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t-BR"/>
        </w:rPr>
        <w:t>Art. 3º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BR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 xml:space="preserve">Determinar expedição de Ofício à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pt-BR"/>
        </w:rPr>
        <w:t>Secretaria Municipal de Educação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val="pt-BR" w:eastAsia="pt-BR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 para,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lang w:val="pt-BR" w:eastAsia="pt-BR"/>
        </w:rPr>
        <w:t>*no prazo de 15 dias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>, enviar as seguintes requisições:</w:t>
      </w:r>
    </w:p>
    <w:p>
      <w:pPr>
        <w:pStyle w:val="NormalWeb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firstLine="1191" w:left="0" w:right="0"/>
        <w:jc w:val="both"/>
        <w:rPr>
          <w:rStyle w:val="Fontepargpadro"/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  <w:t xml:space="preserve">A)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R</w:t>
      </w:r>
      <w:r>
        <w:rPr>
          <w:rStyle w:val="Fontepargpadro"/>
          <w:rFonts w:cs="Times New Roman" w:ascii="Times New Roman" w:hAnsi="Times New Roman"/>
          <w:b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elação nominal de todas as unidades da rede municipal de ensino que ofertam Educação de Jovens e Adultos, indicando os turnos disponibilizados e endereços;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Total de vagas destinadas à Educação de Jovens e Adultos na rede municipal de ensino,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com especificação de localidade (área rural ou urbana);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 existência de lista de espera e, em caso positivo, a quantidade de estudantes que estão aguardando por vagas;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Descrição da forma adotada para o 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chamamento público de matrículas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 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busca ativa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para promover a inclusão de jovens e adultos nas turmas de Educação de Jovens e Adultos, indicando, caso existam, as estratégias de colaboração interinstitucional entre os setores de educação, saúde e assistência social para ampliar o número de matrículas;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Convênios ou outros instrumentos jurídicos celebrados que versem sobre a oferta Educação de Jovens e Adultos na rede municipal de ensino </w:t>
      </w:r>
      <w:r>
        <w:rPr>
          <w:rStyle w:val="Fontepargpadro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>(Decretos, Portarias, Lei Municipal, Resoluções do Conselho Municipal de Educação etc).</w:t>
      </w:r>
    </w:p>
    <w:p>
      <w:pPr>
        <w:pStyle w:val="NormalWeb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</w:r>
    </w:p>
    <w:p>
      <w:pPr>
        <w:pStyle w:val="NormalWeb"/>
        <w:widowControl w:val="false"/>
        <w:suppressAutoHyphens w:val="true"/>
        <w:bidi w:val="0"/>
        <w:spacing w:lineRule="auto" w:line="360" w:before="0" w:after="0"/>
        <w:ind w:firstLine="1134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t-BR"/>
        </w:rPr>
        <w:t xml:space="preserve">Art. 4º.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t-BR"/>
        </w:rPr>
        <w:t xml:space="preserve">Determinar expedição de Ofício à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t-BR"/>
        </w:rPr>
        <w:t xml:space="preserve">Coordenadoria Regional da Educação (CREDE) nº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00" w:val="clear"/>
          <w:lang w:val="pt-BR"/>
        </w:rPr>
        <w:t>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para,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yellow"/>
          <w:lang w:val="pt-BR" w:eastAsia="pt-BR"/>
        </w:rPr>
        <w:t>*no prazo de 15 dias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 xml:space="preserve">, enviar as seguintes requisições, referentes à oferta da Educação de Jovens e Adultos (EJA) nas unidades de ensino da rede estadual, localizadas no município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FFFF00" w:val="clear"/>
          <w:lang w:val="pt-BR" w:eastAsia="pt-BR"/>
        </w:rPr>
        <w:t>*********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  <w:t>:</w:t>
      </w:r>
    </w:p>
    <w:p>
      <w:pPr>
        <w:pStyle w:val="NormalWeb"/>
        <w:widowControl w:val="false"/>
        <w:suppressAutoHyphens w:val="true"/>
        <w:bidi w:val="0"/>
        <w:spacing w:lineRule="auto" w:line="360" w:before="0" w:after="0"/>
        <w:ind w:firstLine="1191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/>
        </w:rPr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eastAsia="pt-BR"/>
        </w:rPr>
        <w:t xml:space="preserve">A)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R</w:t>
      </w:r>
      <w:r>
        <w:rPr>
          <w:rStyle w:val="Fontepargpadro"/>
          <w:rFonts w:cs="Times New Roman" w:ascii="Times New Roman" w:hAnsi="Times New Roman"/>
          <w:b w:val="false"/>
          <w:color w:val="000000"/>
          <w:kern w:val="0"/>
          <w:sz w:val="24"/>
          <w:szCs w:val="24"/>
          <w:u w:val="none"/>
          <w:shd w:fill="auto" w:val="clear"/>
          <w:lang w:eastAsia="pt-BR"/>
        </w:rPr>
        <w:t>elação nominal das unidades de ensino que ofertam Educação de Jovens e Adultos, indicando os turnos disponibilizados e respectivos endereços;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Total de vagas destinadas à Educação de Jovens e Adultos na rede estadual de ensino,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com especificação de localidade (área rural ou urbana);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 existência de lista de espera e, em caso positivo, a quantidade de estudantes que estão aguardando por vagas;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Style w:val="Fontepargpadro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>D)</w:t>
      </w:r>
      <w:r>
        <w:rPr>
          <w:rStyle w:val="Fontepargpadro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 xml:space="preserve"> Descrição da forma adotada para o </w:t>
      </w:r>
      <w:r>
        <w:rPr>
          <w:rStyle w:val="Strong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>chamamento público de matrículas</w:t>
      </w:r>
      <w:r>
        <w:rPr>
          <w:rStyle w:val="Fontepargpadro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 xml:space="preserve"> e na </w:t>
      </w:r>
      <w:r>
        <w:rPr>
          <w:rStyle w:val="Strong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>busca ativa</w:t>
      </w:r>
      <w:r>
        <w:rPr>
          <w:rStyle w:val="Fontepargpadro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 xml:space="preserve"> para promover a inclusão de jovens e adultos nas turmas de Educação de Jovens e Adultos, indicando, caso existam, as estratégias de colaboração interinstitucional entre os setores de educação, saúde e assistência social para ampliar o número de matrículas.</w:t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>
          <w:rStyle w:val="Fontepargpadro1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</w:r>
    </w:p>
    <w:p>
      <w:pPr>
        <w:pStyle w:val="Normal"/>
        <w:widowControl w:val="false"/>
        <w:suppressAutoHyphens w:val="true"/>
        <w:bidi w:val="0"/>
        <w:spacing w:lineRule="auto" w:line="360"/>
        <w:ind w:firstLine="1191" w:right="0"/>
        <w:jc w:val="both"/>
        <w:rPr/>
      </w:pPr>
      <w:r>
        <w:rPr>
          <w:rStyle w:val="Fontepargpadro1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>Art. 5º.</w:t>
      </w:r>
      <w:r>
        <w:rPr>
          <w:rStyle w:val="Fontepargpadro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pt-BR"/>
        </w:rPr>
        <w:t xml:space="preserve"> Determinar a remessa de cópia ao Centro de Apoio Operacional da Educação, para conhecimento.</w:t>
      </w:r>
    </w:p>
    <w:p>
      <w:pPr>
        <w:pStyle w:val="Normal"/>
        <w:numPr>
          <w:ilvl w:val="0"/>
          <w:numId w:val="4"/>
        </w:numPr>
        <w:spacing w:lineRule="auto" w:line="360" w:before="60" w:after="60"/>
        <w:ind w:firstLine="1134" w:left="0" w:right="0"/>
        <w:jc w:val="both"/>
        <w:rPr>
          <w:rStyle w:val="Fontepargpadro"/>
          <w:rFonts w:ascii="Times New Roman" w:hAnsi="Times New Roman" w:eastAsia="Times New Roman" w:cs="Times New Roman"/>
          <w:b w:val="false"/>
          <w:i w:val="false"/>
          <w:i w:val="false"/>
          <w:iCs w:val="false"/>
          <w:color w:val="000000"/>
          <w:kern w:val="0"/>
          <w:sz w:val="24"/>
          <w:szCs w:val="20"/>
          <w:u w:val="none"/>
          <w:shd w:fill="auto" w:val="clear"/>
          <w:lang w:eastAsia="pt-BR"/>
        </w:rPr>
      </w:pPr>
      <w:r>
        <w:rPr>
          <w:rFonts w:eastAsia="Times New Roman" w:cs="Times New Roman"/>
          <w:b/>
          <w:color w:val="000000"/>
          <w:szCs w:val="20"/>
        </w:rPr>
        <w:t>Registre-se. Publique-se. Cumpra-se</w:t>
      </w:r>
      <w:r>
        <w:rPr>
          <w:rFonts w:eastAsia="Times New Roman" w:cs="Times New Roman"/>
          <w:color w:val="000000"/>
          <w:szCs w:val="20"/>
        </w:rPr>
        <w:t>.</w:t>
      </w:r>
    </w:p>
    <w:p>
      <w:pPr>
        <w:pStyle w:val="Normal"/>
        <w:numPr>
          <w:ilvl w:val="0"/>
          <w:numId w:val="4"/>
        </w:numPr>
        <w:spacing w:lineRule="auto" w:line="360" w:before="60" w:after="60"/>
        <w:ind w:firstLine="1134" w:left="0" w:right="0"/>
        <w:jc w:val="both"/>
        <w:rPr>
          <w:rFonts w:ascii="Times New Roman" w:hAnsi="Times New Roman" w:cs="Times New Roman"/>
        </w:rPr>
      </w:pPr>
      <w:r>
        <w:rPr>
          <w:rStyle w:val="Fontepargpadro"/>
          <w:rFonts w:eastAsia="Times New Roman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0"/>
          <w:u w:val="none"/>
          <w:shd w:fill="auto" w:val="clear"/>
          <w:lang w:eastAsia="pt-BR"/>
        </w:rPr>
        <w:t>Expedientes necessários.</w:t>
      </w:r>
    </w:p>
    <w:p>
      <w:pPr>
        <w:pStyle w:val="Normal"/>
        <w:widowControl w:val="false"/>
        <w:suppressAutoHyphens w:val="true"/>
        <w:bidi w:val="0"/>
        <w:spacing w:lineRule="auto" w:line="360" w:before="40" w:after="40"/>
        <w:ind w:hanging="0" w:left="1134" w:right="0"/>
        <w:jc w:val="both"/>
        <w:rPr/>
      </w:pPr>
      <w:r>
        <w:rPr>
          <w:rFonts w:cs="Times New Roman" w:ascii="Times New Roman" w:hAnsi="Times New Roman"/>
          <w:color w:val="FF0000"/>
          <w:sz w:val="24"/>
          <w:szCs w:val="24"/>
          <w:highlight w:val="yellow"/>
        </w:rPr>
        <w:t>Local e data**</w:t>
      </w:r>
    </w:p>
    <w:p>
      <w:pPr>
        <w:pStyle w:val="western"/>
        <w:numPr>
          <w:ilvl w:val="0"/>
          <w:numId w:val="4"/>
        </w:numPr>
        <w:spacing w:lineRule="auto" w:line="240" w:before="113" w:after="113"/>
        <w:jc w:val="center"/>
        <w:rPr>
          <w:b/>
        </w:rPr>
      </w:pPr>
      <w:r>
        <w:rPr>
          <w:rFonts w:cs="Times New Roman"/>
          <w:color w:val="FF0000"/>
          <w:highlight w:val="yellow"/>
        </w:rPr>
        <w:t>**************</w:t>
      </w:r>
    </w:p>
    <w:p>
      <w:pPr>
        <w:pStyle w:val="Standard"/>
        <w:numPr>
          <w:ilvl w:val="0"/>
          <w:numId w:val="4"/>
        </w:numPr>
        <w:jc w:val="center"/>
        <w:rPr>
          <w:rFonts w:cs="Times New Roman"/>
          <w:b/>
          <w:color w:val="000000"/>
          <w:lang w:bidi="ar-SA"/>
        </w:rPr>
      </w:pPr>
      <w:r>
        <w:rPr>
          <w:b/>
        </w:rPr>
        <w:t>Promotor(a) de Justiça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800" w:right="1800" w:gutter="0" w:header="720" w:top="2285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Garamond">
    <w:charset w:val="00"/>
    <w:family w:val="roman"/>
    <w:pitch w:val="variable"/>
  </w:font>
  <w:font w:name="Graphik-MediumItalic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</w:rPr>
    </w:pPr>
    <w:r>
      <w:rPr/>
      <w:drawing>
        <wp:inline distT="0" distB="0" distL="0" distR="0">
          <wp:extent cx="7162800" cy="95250"/>
          <wp:effectExtent l="0" t="0" r="0" b="0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3396" r="-45" b="-3396"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BodyText"/>
      <w:spacing w:lineRule="auto" w:line="240" w:before="0" w:after="0"/>
      <w:jc w:val="center"/>
      <w:rPr/>
    </w:pPr>
    <w:r>
      <w:rPr>
        <w:rFonts w:eastAsia="Times New Roman" w:cs="Times New Roman"/>
        <w:b/>
        <w:bCs/>
        <w:color w:val="C9211E"/>
        <w:sz w:val="16"/>
        <w:szCs w:val="16"/>
        <w:shd w:fill="FFFF00" w:val="clear"/>
        <w:lang w:bidi="pt-BR"/>
      </w:rPr>
      <w:t xml:space="preserve">** </w:t>
    </w:r>
    <w:r>
      <w:rPr>
        <w:rFonts w:cs="Times New Roman"/>
        <w:b/>
        <w:sz w:val="16"/>
        <w:szCs w:val="16"/>
        <w:shd w:fill="FFFF00" w:val="clear"/>
      </w:rPr>
      <w:t xml:space="preserve">PROMOTORIA DE JUSTIÇA DE </w:t>
    </w:r>
    <w:r>
      <w:rPr>
        <w:rFonts w:eastAsia="Times New Roman" w:cs="Times New Roman"/>
        <w:b/>
        <w:bCs/>
        <w:color w:val="C9211E"/>
        <w:sz w:val="16"/>
        <w:szCs w:val="16"/>
        <w:shd w:fill="FFFF00" w:val="clear"/>
        <w:lang w:bidi="pt-BR"/>
      </w:rPr>
      <w:t>*************</w:t>
    </w:r>
  </w:p>
  <w:p>
    <w:pPr>
      <w:pStyle w:val="Normal"/>
      <w:spacing w:lineRule="auto" w:line="240"/>
      <w:jc w:val="center"/>
      <w:rPr>
        <w:rFonts w:cs="Times New Roman"/>
        <w:sz w:val="16"/>
        <w:szCs w:val="16"/>
        <w:highlight w:val="yellow"/>
      </w:rPr>
    </w:pPr>
    <w:r>
      <w:rPr>
        <w:rFonts w:cs="Times New Roman"/>
        <w:sz w:val="16"/>
        <w:szCs w:val="16"/>
        <w:highlight w:val="yellow"/>
      </w:rPr>
      <w:t>*ENDEREÇO</w:t>
    </w:r>
  </w:p>
  <w:p>
    <w:pPr>
      <w:pStyle w:val="Footer"/>
      <w:bidi w:val="0"/>
      <w:spacing w:lineRule="auto" w:line="240" w:before="0" w:after="0"/>
      <w:ind w:right="0"/>
      <w:jc w:val="center"/>
      <w:rPr>
        <w:rFonts w:ascii="Times New Roman" w:hAnsi="Times New Roman" w:eastAsia="Times New Roman" w:cs="Times New Roman"/>
        <w:b/>
        <w:bCs/>
        <w:color w:val="C9211E"/>
        <w:sz w:val="16"/>
        <w:szCs w:val="16"/>
        <w:highlight w:val="yellow"/>
        <w:shd w:fill="FFFF00" w:val="clear"/>
        <w:lang w:bidi="pt-BR"/>
      </w:rPr>
    </w:pPr>
    <w:r>
      <w:rPr>
        <w:rFonts w:eastAsia="Times New Roman" w:cs="Times New Roman" w:ascii="Times New Roman" w:hAnsi="Times New Roman"/>
        <w:b/>
        <w:bCs/>
        <w:color w:val="C9211E"/>
        <w:sz w:val="16"/>
        <w:szCs w:val="16"/>
        <w:highlight w:val="yellow"/>
        <w:shd w:fill="FFFF00" w:val="clear"/>
        <w:lang w:bidi="pt-BR"/>
      </w:rPr>
      <w:t>e-mail: ***********@mpce.mp.br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</w:rPr>
    </w:pPr>
    <w:r>
      <w:rPr/>
      <w:drawing>
        <wp:inline distT="0" distB="0" distL="0" distR="0">
          <wp:extent cx="7162800" cy="95250"/>
          <wp:effectExtent l="0" t="0" r="0" b="0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3396" r="-45" b="-3396"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BodyText"/>
      <w:spacing w:lineRule="auto" w:line="240" w:before="0" w:after="0"/>
      <w:jc w:val="center"/>
      <w:rPr/>
    </w:pPr>
    <w:r>
      <w:rPr>
        <w:rFonts w:eastAsia="Times New Roman" w:cs="Times New Roman"/>
        <w:b/>
        <w:bCs/>
        <w:color w:val="C9211E"/>
        <w:sz w:val="16"/>
        <w:szCs w:val="16"/>
        <w:shd w:fill="FFFF00" w:val="clear"/>
        <w:lang w:bidi="pt-BR"/>
      </w:rPr>
      <w:t xml:space="preserve">** </w:t>
    </w:r>
    <w:r>
      <w:rPr>
        <w:rFonts w:cs="Times New Roman"/>
        <w:b/>
        <w:sz w:val="16"/>
        <w:szCs w:val="16"/>
        <w:shd w:fill="FFFF00" w:val="clear"/>
      </w:rPr>
      <w:t xml:space="preserve">PROMOTORIA DE JUSTIÇA DE </w:t>
    </w:r>
    <w:r>
      <w:rPr>
        <w:rFonts w:eastAsia="Times New Roman" w:cs="Times New Roman"/>
        <w:b/>
        <w:bCs/>
        <w:color w:val="C9211E"/>
        <w:sz w:val="16"/>
        <w:szCs w:val="16"/>
        <w:shd w:fill="FFFF00" w:val="clear"/>
        <w:lang w:bidi="pt-BR"/>
      </w:rPr>
      <w:t>*************</w:t>
    </w:r>
  </w:p>
  <w:p>
    <w:pPr>
      <w:pStyle w:val="Normal"/>
      <w:spacing w:lineRule="auto" w:line="240"/>
      <w:jc w:val="center"/>
      <w:rPr>
        <w:rFonts w:cs="Times New Roman"/>
        <w:sz w:val="16"/>
        <w:szCs w:val="16"/>
        <w:highlight w:val="yellow"/>
      </w:rPr>
    </w:pPr>
    <w:r>
      <w:rPr>
        <w:rFonts w:cs="Times New Roman"/>
        <w:sz w:val="16"/>
        <w:szCs w:val="16"/>
        <w:highlight w:val="yellow"/>
      </w:rPr>
      <w:t>*ENDEREÇO</w:t>
    </w:r>
  </w:p>
  <w:p>
    <w:pPr>
      <w:pStyle w:val="Footer"/>
      <w:bidi w:val="0"/>
      <w:spacing w:lineRule="auto" w:line="240" w:before="0" w:after="0"/>
      <w:ind w:right="0"/>
      <w:jc w:val="center"/>
      <w:rPr>
        <w:rFonts w:ascii="Times New Roman" w:hAnsi="Times New Roman" w:eastAsia="Times New Roman" w:cs="Times New Roman"/>
        <w:b/>
        <w:bCs/>
        <w:color w:val="C9211E"/>
        <w:sz w:val="16"/>
        <w:szCs w:val="16"/>
        <w:highlight w:val="yellow"/>
        <w:shd w:fill="FFFF00" w:val="clear"/>
        <w:lang w:bidi="pt-BR"/>
      </w:rPr>
    </w:pPr>
    <w:r>
      <w:rPr>
        <w:rFonts w:eastAsia="Times New Roman" w:cs="Times New Roman" w:ascii="Times New Roman" w:hAnsi="Times New Roman"/>
        <w:b/>
        <w:bCs/>
        <w:color w:val="C9211E"/>
        <w:sz w:val="16"/>
        <w:szCs w:val="16"/>
        <w:highlight w:val="yellow"/>
        <w:shd w:fill="FFFF00" w:val="clear"/>
        <w:lang w:bidi="pt-BR"/>
      </w:rPr>
      <w:t>e-mail: ***********@mpce.mp.br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  <w:b/>
        <w:bCs/>
      </w:rPr>
    </w:pPr>
    <w:r>
      <w:rPr/>
      <w:drawing>
        <wp:inline distT="0" distB="0" distL="0" distR="0">
          <wp:extent cx="5486400" cy="6477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" t="-351" r="-41" b="-35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BodyText"/>
      <w:bidi w:val="0"/>
      <w:spacing w:lineRule="auto" w:line="240" w:before="0" w:after="0"/>
      <w:ind w:hanging="0" w:left="0" w:right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b/>
        <w:bCs/>
        <w:sz w:val="22"/>
        <w:szCs w:val="22"/>
        <w:shd w:fill="FFFF00" w:val="clear"/>
      </w:rPr>
      <w:t>**ª PROMOTORIA DE JUSTIÇA DE ***********</w:t>
    </w:r>
  </w:p>
  <w:p>
    <w:pPr>
      <w:pStyle w:val="Normal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cs="Times New Roman"/>
        <w:b/>
        <w:bCs/>
      </w:rPr>
    </w:pPr>
    <w:r>
      <w:rPr/>
      <w:drawing>
        <wp:inline distT="0" distB="0" distL="0" distR="0">
          <wp:extent cx="5486400" cy="64770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" t="-351" r="-41" b="-35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BodyText"/>
      <w:bidi w:val="0"/>
      <w:spacing w:lineRule="auto" w:line="240" w:before="0" w:after="0"/>
      <w:ind w:hanging="0" w:left="0" w:right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b/>
        <w:bCs/>
        <w:sz w:val="22"/>
        <w:szCs w:val="22"/>
        <w:shd w:fill="FFFF00" w:val="clear"/>
      </w:rPr>
      <w:t>**ª PROMOTORIA DE JUSTIÇA DE ***********</w:t>
    </w:r>
  </w:p>
  <w:p>
    <w:pPr>
      <w:pStyle w:val="Normal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rFonts w:ascii="Times New Roman" w:hAnsi="Times New Roman" w:eastAsia="Times New Roman" w:cs="Times New Roman"/>
        <w:color w:val="000000"/>
        <w:lang w:eastAsia="pt-BR" w:bidi="pt-BR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spacing w:val="-3"/>
        <w:kern w:val="0"/>
        <w:szCs w:val="24"/>
        <w:highlight w:val="yellow"/>
        <w:rFonts w:ascii="Times New Roman" w:hAnsi="Times New Roman" w:eastAsia="Times New Roman" w:cs="Times New Roman"/>
        <w:color w:val="000000"/>
        <w:lang w:val="pt-BR" w:eastAsia="pt-BR" w:bidi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embedSystemFonts/>
  <w:defaultTabStop w:val="720"/>
  <w:mailMerge>
    <w:mainDocumentType w:val="formLetters"/>
    <w:dataType w:val="textFile"/>
    <w:query w:val="SELECT * FROM Endereços.dbo.Planilha1$"/>
  </w:mailMerge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3"/>
    <w:next w:val="BodyText"/>
    <w:qFormat/>
    <w:pPr>
      <w:numPr>
        <w:ilvl w:val="0"/>
        <w:numId w:val="1"/>
      </w:numPr>
      <w:outlineLvl w:val="0"/>
    </w:pPr>
    <w:rPr/>
  </w:style>
  <w:style w:type="paragraph" w:styleId="Heading2">
    <w:name w:val="heading 2"/>
    <w:basedOn w:val="Ttulo3"/>
    <w:next w:val="BodyText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Heading3">
    <w:name w:val="heading 3"/>
    <w:basedOn w:val="Ttulo3"/>
    <w:next w:val="BodyText"/>
    <w:qFormat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2"/>
      </w:numPr>
      <w:jc w:val="center"/>
      <w:outlineLvl w:val="6"/>
    </w:pPr>
    <w:rPr>
      <w:rFonts w:ascii="Garamond" w:hAnsi="Garamond" w:eastAsia="Garamond" w:cs="Garamond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ntepargpadro1" w:customStyle="1">
    <w:name w:val="Fonte parág. padrão1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strike w:val="false"/>
      <w:dstrike w:val="false"/>
      <w:color w:val="000000"/>
      <w:spacing w:val="-3"/>
      <w:kern w:val="0"/>
      <w:sz w:val="24"/>
      <w:szCs w:val="24"/>
      <w:lang w:eastAsia="pt-BR" w:bidi="pt-BR"/>
    </w:rPr>
  </w:style>
  <w:style w:type="character" w:styleId="Fontepargpadro">
    <w:name w:val="Fonte parág. padrão"/>
    <w:qFormat/>
    <w:rPr/>
  </w:style>
  <w:style w:type="character" w:styleId="Strong">
    <w:name w:val="Strong"/>
    <w:qFormat/>
    <w:rPr>
      <w:b/>
      <w:bCs/>
    </w:rPr>
  </w:style>
  <w:style w:type="character" w:styleId="WW8Num3z0">
    <w:name w:val="WW8Num3z0"/>
    <w:qFormat/>
    <w:rPr>
      <w:rFonts w:ascii="Times New Roman" w:hAnsi="Times New Roman" w:eastAsia="Times New Roman" w:cs="Times New Roman"/>
      <w:strike w:val="false"/>
      <w:dstrike w:val="false"/>
      <w:color w:val="000000"/>
      <w:spacing w:val="-3"/>
      <w:kern w:val="0"/>
      <w:sz w:val="24"/>
      <w:szCs w:val="24"/>
      <w:lang w:val="pt-BR" w:eastAsia="pt-BR" w:bidi="pt-BR"/>
    </w:rPr>
  </w:style>
  <w:style w:type="character" w:styleId="Caracteresdenotadefimuser">
    <w:name w:val="Caracteres de nota de fim (user)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cteresdenotaderodapuser">
    <w:name w:val="Caracteres de nota de rodapé (user)"/>
    <w:qFormat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Refdenotaderodap4">
    <w:name w:val="Ref. de nota de rodapé4"/>
    <w:qFormat/>
    <w:rPr>
      <w:vertAlign w:val="superscript"/>
    </w:rPr>
  </w:style>
  <w:style w:type="character" w:styleId="Smbolosdenumeraouser">
    <w:name w:val="Símbolos de numeração (user)"/>
    <w:qFormat/>
    <w:rPr/>
  </w:style>
  <w:style w:type="character" w:styleId="Forte1">
    <w:name w:val="Forte1"/>
    <w:qFormat/>
    <w:rPr>
      <w:b/>
      <w:bCs/>
    </w:rPr>
  </w:style>
  <w:style w:type="character" w:styleId="Refdenotadefim3">
    <w:name w:val="Ref. de nota de fim3"/>
    <w:qFormat/>
    <w:rPr>
      <w:vertAlign w:val="superscript"/>
    </w:rPr>
  </w:style>
  <w:style w:type="character" w:styleId="WW-LinkdaInternet1">
    <w:name w:val="WW-Link da Internet1"/>
    <w:qFormat/>
    <w:rPr>
      <w:color w:val="000080"/>
      <w:u w:val="single"/>
    </w:rPr>
  </w:style>
  <w:style w:type="character" w:styleId="Refdenotaderodap3">
    <w:name w:val="Ref. de nota de rodapé3"/>
    <w:qFormat/>
    <w:rPr>
      <w:vertAlign w:val="superscript"/>
    </w:rPr>
  </w:style>
  <w:style w:type="character" w:styleId="WW-nfaseforte1">
    <w:name w:val="WW-Ênfase forte1"/>
    <w:qFormat/>
    <w:rPr>
      <w:b/>
      <w:bCs/>
    </w:rPr>
  </w:style>
  <w:style w:type="character" w:styleId="Refdenotadefim2">
    <w:name w:val="Ref. de nota de fim2"/>
    <w:qFormat/>
    <w:rPr>
      <w:vertAlign w:val="superscript"/>
    </w:rPr>
  </w:style>
  <w:style w:type="character" w:styleId="WW-LinkdaInternet">
    <w:name w:val="WW-Link da Internet"/>
    <w:qFormat/>
    <w:rPr>
      <w:color w:val="000080"/>
      <w:u w:val="single"/>
    </w:rPr>
  </w:style>
  <w:style w:type="character" w:styleId="Refdenotaderodap2">
    <w:name w:val="Ref. de nota de rodapé2"/>
    <w:qFormat/>
    <w:rPr>
      <w:vertAlign w:val="superscript"/>
    </w:rPr>
  </w:style>
  <w:style w:type="character" w:styleId="WW-nfaseforte">
    <w:name w:val="WW-Ênfase forte"/>
    <w:qFormat/>
    <w:rPr>
      <w:b/>
      <w:bCs/>
    </w:rPr>
  </w:style>
  <w:style w:type="character" w:styleId="Ttulo5Char">
    <w:name w:val="Título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fontstyle01">
    <w:name w:val="fontstyle01"/>
    <w:qFormat/>
    <w:rPr>
      <w:rFonts w:ascii="Graphik-MediumItalic" w:hAnsi="Graphik-MediumItalic" w:cs="Graphik-MediumItalic"/>
      <w:b w:val="false"/>
      <w:bCs w:val="false"/>
      <w:i/>
      <w:iCs/>
      <w:color w:val="000000"/>
      <w:sz w:val="20"/>
      <w:szCs w:val="20"/>
    </w:rPr>
  </w:style>
  <w:style w:type="character" w:styleId="halyaf">
    <w:name w:val="halyaf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Refdenotadefim1">
    <w:name w:val="Ref. de nota de fim1"/>
    <w:qFormat/>
    <w:rPr>
      <w:vertAlign w:val="superscript"/>
    </w:rPr>
  </w:style>
  <w:style w:type="character" w:styleId="WW-Caracteresdenotadefim">
    <w:name w:val="WW-Caracteres de nota de fim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RodapChar">
    <w:name w:val="Rodapé Char"/>
    <w:qFormat/>
    <w:rPr>
      <w:szCs w:val="21"/>
    </w:rPr>
  </w:style>
  <w:style w:type="character" w:styleId="CabealhoChar">
    <w:name w:val="Cabeçalho Char"/>
    <w:qFormat/>
    <w:rPr>
      <w:szCs w:val="21"/>
    </w:rPr>
  </w:style>
  <w:style w:type="character" w:styleId="DefaultParagraphFont1">
    <w:name w:val="Default Paragraph Font1"/>
    <w:qFormat/>
    <w:rPr/>
  </w:style>
  <w:style w:type="character" w:styleId="WW-DefaultParagraphFont">
    <w:name w:val="WW-Default Paragraph Font"/>
    <w:qFormat/>
    <w:rPr/>
  </w:style>
  <w:style w:type="character" w:styleId="Fontepargpadro2">
    <w:name w:val="Fonte parág. padrão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eastAsia="SimSun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Fontepargpadro3">
    <w:name w:val="Fonte parág. padrão3"/>
    <w:qFormat/>
    <w:rPr/>
  </w:style>
  <w:style w:type="character" w:styleId="WW8Num11z0">
    <w:name w:val="WW8Num11z0"/>
    <w:qFormat/>
    <w:rPr>
      <w:rFonts w:ascii="Liberation Serif" w:hAnsi="Liberation Serif" w:eastAsia="SimSun" w:cs="Manga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eastAsia="Arial" w:cs="Times New Roman"/>
      <w:color w:val="000000"/>
      <w:shd w:fill="FFFF00" w:val="clear"/>
    </w:rPr>
  </w:style>
  <w:style w:type="character" w:styleId="Fontepargpadro4">
    <w:name w:val="Fonte parág. padrão4"/>
    <w:qFormat/>
    <w:rPr/>
  </w:style>
  <w:style w:type="character" w:styleId="Fontepargpadro5">
    <w:name w:val="Fonte parág. padrão5"/>
    <w:qFormat/>
    <w:rPr/>
  </w:style>
  <w:style w:type="character" w:styleId="Fontepargpadro6">
    <w:name w:val="Fonte parág. padrão6"/>
    <w:qFormat/>
    <w:rPr/>
  </w:style>
  <w:style w:type="character" w:styleId="Fontepargpadro7">
    <w:name w:val="Fonte parág. padrão7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>
      <w:rFonts w:cs="Calibri"/>
    </w:rPr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Fontepargpadro8">
    <w:name w:val="Fonte parág. padrão8"/>
    <w:qFormat/>
    <w:rPr/>
  </w:style>
  <w:style w:type="character" w:styleId="Fontepargpadro9">
    <w:name w:val="Fonte parág. padrão9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3z3">
    <w:name w:val="WW8Num3z3"/>
    <w:qFormat/>
    <w:rPr>
      <w:rFonts w:cs="Calibri"/>
    </w:rPr>
  </w:style>
  <w:style w:type="character" w:styleId="WW8Num2z3">
    <w:name w:val="WW8Num2z3"/>
    <w:qFormat/>
    <w:rPr>
      <w:rFonts w:cs="Calibri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/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Cabealhoerodap13">
    <w:name w:val="Cabeçalho e rodapé13"/>
    <w:basedOn w:val="Normal"/>
    <w:qFormat/>
    <w:pPr/>
    <w:rPr/>
  </w:style>
  <w:style w:type="paragraph" w:styleId="Cabealhoerodap14">
    <w:name w:val="Cabeçalho e rodapé14"/>
    <w:basedOn w:val="Normal"/>
    <w:qFormat/>
    <w:pPr/>
    <w:rPr/>
  </w:style>
  <w:style w:type="paragraph" w:styleId="Cabealhoerodap15">
    <w:name w:val="Cabeçalho e rodapé15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atabelauser" w:customStyle="1">
    <w:name w:val="Conteúdo da tabela (user)"/>
    <w:basedOn w:val="Normal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LO-Normal1" w:customStyle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Wingdings"/>
      <w:color w:val="000000"/>
      <w:kern w:val="0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basedOn w:val="Normal"/>
    <w:qFormat/>
    <w:pPr>
      <w:ind w:firstLine="2835"/>
      <w:jc w:val="both"/>
    </w:pPr>
    <w:rPr>
      <w:rFonts w:ascii="Garamond" w:hAnsi="Garamond" w:eastAsia="Garamond" w:cs="Garamond"/>
      <w:sz w:val="32"/>
    </w:rPr>
  </w:style>
  <w:style w:type="paragraph" w:styleId="LO-Normal0" w:customStyle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t-BR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LO-Normal11">
    <w:name w:val="LO-Normal1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Wingdings"/>
      <w:color w:val="000000"/>
      <w:kern w:val="0"/>
      <w:sz w:val="24"/>
      <w:szCs w:val="24"/>
      <w:lang w:val="pt-BR" w:eastAsia="zh-CN" w:bidi="hi-IN"/>
    </w:rPr>
  </w:style>
  <w:style w:type="paragraph" w:styleId="western">
    <w:name w:val="western"/>
    <w:basedOn w:val="Normal"/>
    <w:qFormat/>
    <w:pPr>
      <w:spacing w:before="280" w:after="119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LO-normal12">
    <w:name w:val="LO-normal12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Citaes">
    <w:name w:val="Citações"/>
    <w:basedOn w:val="Normal"/>
    <w:qFormat/>
    <w:pPr>
      <w:spacing w:before="0" w:after="283"/>
      <w:ind w:left="567" w:right="567"/>
    </w:pPr>
    <w:rPr/>
  </w:style>
  <w:style w:type="paragraph" w:styleId="Standard1">
    <w:name w:val="Standard1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Contedodalista">
    <w:name w:val="Conteúdo da lista"/>
    <w:basedOn w:val="Standard"/>
    <w:qFormat/>
    <w:pPr>
      <w:ind w:left="567"/>
    </w:pPr>
    <w:rPr/>
  </w:style>
  <w:style w:type="paragraph" w:styleId="Textbodyindent">
    <w:name w:val="Text body indent"/>
    <w:basedOn w:val="Standard"/>
    <w:qFormat/>
    <w:pPr>
      <w:jc w:val="both"/>
    </w:pPr>
    <w:rPr>
      <w:rFonts w:ascii="Courier New" w:hAnsi="Courier New" w:cs="Courier New"/>
      <w:sz w:val="28"/>
      <w:szCs w:val="2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tulo2">
    <w:name w:val="Título2"/>
    <w:basedOn w:val="Ttulo1"/>
    <w:next w:val="Textbody"/>
    <w:qFormat/>
    <w:pPr>
      <w:jc w:val="center"/>
    </w:pPr>
    <w:rPr>
      <w:b/>
      <w:bCs/>
      <w:sz w:val="36"/>
      <w:szCs w:val="36"/>
    </w:rPr>
  </w:style>
  <w:style w:type="paragraph" w:styleId="Blocodecitao">
    <w:name w:val="Bloco de citação"/>
    <w:basedOn w:val="Standard"/>
    <w:qFormat/>
    <w:pPr>
      <w:spacing w:before="0" w:after="283"/>
      <w:ind w:left="567" w:right="567"/>
    </w:pPr>
    <w:rPr/>
  </w:style>
  <w:style w:type="paragraph" w:styleId="Rodap1">
    <w:name w:val="Rodapé1"/>
    <w:basedOn w:val="Standard"/>
    <w:qFormat/>
    <w:pPr>
      <w:suppressLineNumbers/>
    </w:pPr>
    <w:rPr/>
  </w:style>
  <w:style w:type="paragraph" w:styleId="Cabealho1">
    <w:name w:val="Cabeçalho1"/>
    <w:basedOn w:val="Standard"/>
    <w:qFormat/>
    <w:pPr>
      <w:suppressLineNumbers/>
    </w:pPr>
    <w:rPr/>
  </w:style>
  <w:style w:type="paragraph" w:styleId="WW-Caption">
    <w:name w:val="WW-Caption"/>
    <w:basedOn w:val="Standard"/>
    <w:qFormat/>
    <w:pPr>
      <w:suppressLineNumbers/>
      <w:spacing w:before="120" w:after="120"/>
    </w:pPr>
    <w:rPr>
      <w:i/>
      <w:iCs/>
    </w:rPr>
  </w:style>
  <w:style w:type="paragraph" w:styleId="LO-Normal2">
    <w:name w:val="LO-Normal2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31">
    <w:name w:val="Título 31"/>
    <w:basedOn w:val="Ttulo1"/>
    <w:next w:val="Textbody"/>
    <w:qFormat/>
    <w:pPr>
      <w:numPr>
        <w:ilvl w:val="0"/>
        <w:numId w:val="2"/>
      </w:numPr>
    </w:pPr>
    <w:rPr>
      <w:b/>
      <w:bCs/>
    </w:rPr>
  </w:style>
  <w:style w:type="paragraph" w:styleId="Ttulo21">
    <w:name w:val="Título 21"/>
    <w:basedOn w:val="Ttulo1"/>
    <w:next w:val="Textbody"/>
    <w:qFormat/>
    <w:pPr/>
    <w:rPr>
      <w:b/>
      <w:bCs/>
      <w:i/>
      <w:iCs/>
    </w:rPr>
  </w:style>
  <w:style w:type="paragraph" w:styleId="Ttulo11">
    <w:name w:val="Título 11"/>
    <w:basedOn w:val="Ttulo1"/>
    <w:next w:val="Textbody"/>
    <w:qFormat/>
    <w:pPr/>
    <w:rPr>
      <w:b/>
      <w:bCs/>
    </w:rPr>
  </w:style>
  <w:style w:type="paragraph" w:styleId="Legenda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Ttulo1"/>
    <w:next w:val="Textbody"/>
    <w:qFormat/>
    <w:pPr>
      <w:jc w:val="center"/>
    </w:pPr>
    <w:rPr>
      <w:i/>
      <w:iCs/>
    </w:rPr>
  </w:style>
  <w:style w:type="paragraph" w:styleId="Ttulo4">
    <w:name w:val="Título4"/>
    <w:basedOn w:val="Ttulo3"/>
    <w:next w:val="BodyText"/>
    <w:qFormat/>
    <w:pPr/>
    <w:rPr>
      <w:sz w:val="56"/>
      <w:szCs w:val="56"/>
    </w:rPr>
  </w:style>
  <w:style w:type="paragraph" w:styleId="Ttulo5">
    <w:name w:val="Título5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6">
    <w:name w:val="Título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7">
    <w:name w:val="Título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8">
    <w:name w:val="Título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>
    <w:name w:val="Título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0">
    <w:name w:val="Título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Standard"/>
    <w:qFormat/>
    <w:pPr>
      <w:spacing w:before="0" w:after="57"/>
    </w:pPr>
    <w:rPr/>
  </w:style>
  <w:style w:type="paragraph" w:styleId="Ttulo3">
    <w:name w:val="Título3"/>
    <w:basedOn w:val="Ttulo1"/>
    <w:next w:val="Textbody"/>
    <w:qFormat/>
    <w:pPr>
      <w:jc w:val="center"/>
    </w:pPr>
    <w:rPr>
      <w:rFonts w:cs="Mangal"/>
      <w:b/>
      <w:bCs/>
      <w:sz w:val="36"/>
      <w:szCs w:val="36"/>
    </w:rPr>
  </w:style>
  <w:style w:type="paragraph" w:styleId="Ttulo111">
    <w:name w:val="Título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-normal13">
    <w:name w:val="LO-normal1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LO-Normal3">
    <w:name w:val="LO-Normal3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Standard2">
    <w:name w:val="Standard2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Semlistauser" w:default="1">
    <w:name w:val="Sem lista (user)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Application>LibreOffice/25.2.4.3$Windows_X86_64 LibreOffice_project/33e196637044ead23f5c3226cde09b47731f7e27</Application>
  <AppVersion>15.0000</AppVersion>
  <Pages>5</Pages>
  <Words>1320</Words>
  <Characters>7209</Characters>
  <CharactersWithSpaces>8487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2024-07-16T11:29:00Z</dcterms:created>
  <dc:creator/>
  <dc:description/>
  <dc:language>pt-BR</dc:language>
  <cp:lastModifiedBy/>
  <cp:lastPrinted>1601-01-01T00:00:00Z</cp:lastPrinted>
  <dcterms:modified xsi:type="dcterms:W3CDTF">2025-07-30T09:15:01Z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categoria">
    <vt:lpwstr>26</vt:lpwstr>
  </property>
  <property fmtid="{D5CDD505-2E9C-101B-9397-08002B2CF9AE}" pid="3" name="cddocumento">
    <vt:lpwstr>9113860</vt:lpwstr>
  </property>
  <property fmtid="{D5CDD505-2E9C-101B-9397-08002B2CF9AE}" pid="4" name="cdimagem">
    <vt:lpwstr>3</vt:lpwstr>
  </property>
  <property fmtid="{D5CDD505-2E9C-101B-9397-08002B2CF9AE}" pid="5" name="cdmodelo">
    <vt:lpwstr>777974</vt:lpwstr>
  </property>
  <property fmtid="{D5CDD505-2E9C-101B-9397-08002B2CF9AE}" pid="6" name="cdprocesso">
    <vt:lpwstr>01000QBLK0000</vt:lpwstr>
  </property>
  <property fmtid="{D5CDD505-2E9C-101B-9397-08002B2CF9AE}" pid="7" name="cdtipoobjeto">
    <vt:lpwstr>0</vt:lpwstr>
  </property>
  <property fmtid="{D5CDD505-2E9C-101B-9397-08002B2CF9AE}" pid="8" name="cdusucriacao">
    <vt:lpwstr>GLAUTER.SANTOS</vt:lpwstr>
  </property>
  <property fmtid="{D5CDD505-2E9C-101B-9397-08002B2CF9AE}" pid="9" name="cdusuemedicao">
    <vt:lpwstr>ELIZABETH.OLIVE</vt:lpwstr>
  </property>
  <property fmtid="{D5CDD505-2E9C-101B-9397-08002B2CF9AE}" pid="10" name="deipemedicao">
    <vt:lpwstr>192.168.15.6</vt:lpwstr>
  </property>
  <property fmtid="{D5CDD505-2E9C-101B-9397-08002B2CF9AE}" pid="11" name="deslocamentodepaginas">
    <vt:lpwstr>0</vt:lpwstr>
  </property>
  <property fmtid="{D5CDD505-2E9C-101B-9397-08002B2CF9AE}" pid="12" name="dtcriacaodoc">
    <vt:lpwstr>20/10/2023 10:17:29</vt:lpwstr>
  </property>
  <property fmtid="{D5CDD505-2E9C-101B-9397-08002B2CF9AE}" pid="13" name="dthrultalteracao">
    <vt:lpwstr>20/10/2023 11:44:41</vt:lpwstr>
  </property>
  <property fmtid="{D5CDD505-2E9C-101B-9397-08002B2CF9AE}" pid="14" name="filaatual">
    <vt:lpwstr>-999</vt:lpwstr>
  </property>
  <property fmtid="{D5CDD505-2E9C-101B-9397-08002B2CF9AE}" pid="15" name="filadestino">
    <vt:lpwstr>-999</vt:lpwstr>
  </property>
  <property fmtid="{D5CDD505-2E9C-101B-9397-08002B2CF9AE}" pid="16" name="fluxotrabalhopai">
    <vt:lpwstr>-999</vt:lpwstr>
  </property>
  <property fmtid="{D5CDD505-2E9C-101B-9397-08002B2CF9AE}" pid="17" name="grupofluxotrabalhopai">
    <vt:lpwstr>-999</vt:lpwstr>
  </property>
  <property fmtid="{D5CDD505-2E9C-101B-9397-08002B2CF9AE}" pid="18" name="imprimir_cabecalho">
    <vt:lpwstr>Todas</vt:lpwstr>
  </property>
  <property fmtid="{D5CDD505-2E9C-101B-9397-08002B2CF9AE}" pid="19" name="naoquebrarpaginaemtabelas">
    <vt:lpwstr>N</vt:lpwstr>
  </property>
  <property fmtid="{D5CDD505-2E9C-101B-9397-08002B2CF9AE}" pid="20" name="nmarquivo">
    <vt:lpwstr>OFICIO_CIRCULAR_CAOEDUC [09.2021.00011239-3]</vt:lpwstr>
  </property>
  <property fmtid="{D5CDD505-2E9C-101B-9397-08002B2CF9AE}" pid="21" name="nmmodelo">
    <vt:lpwstr>???</vt:lpwstr>
  </property>
  <property fmtid="{D5CDD505-2E9C-101B-9397-08002B2CF9AE}" pid="22" name="numeroversao">
    <vt:lpwstr>5.0.35-5</vt:lpwstr>
  </property>
  <property fmtid="{D5CDD505-2E9C-101B-9397-08002B2CF9AE}" pid="23" name="nuprocesso">
    <vt:lpwstr>09.2021.00011239-3</vt:lpwstr>
  </property>
  <property fmtid="{D5CDD505-2E9C-101B-9397-08002B2CF9AE}" pid="24" name="nuprocessosemformatacao">
    <vt:lpwstr>092021000112393</vt:lpwstr>
  </property>
  <property fmtid="{D5CDD505-2E9C-101B-9397-08002B2CF9AE}" pid="25" name="nurecurso">
    <vt:lpwstr>00000</vt:lpwstr>
  </property>
  <property fmtid="{D5CDD505-2E9C-101B-9397-08002B2CF9AE}" pid="26" name="nuseqhist_atual">
    <vt:lpwstr>-999</vt:lpwstr>
  </property>
  <property fmtid="{D5CDD505-2E9C-101B-9397-08002B2CF9AE}" pid="27" name="nuseqhist_pai">
    <vt:lpwstr>-999</vt:lpwstr>
  </property>
  <property fmtid="{D5CDD505-2E9C-101B-9397-08002B2CF9AE}" pid="28" name="quantidade_paginas">
    <vt:lpwstr>1</vt:lpwstr>
  </property>
  <property fmtid="{D5CDD505-2E9C-101B-9397-08002B2CF9AE}" pid="29" name="sgmodelo">
    <vt:lpwstr>???</vt:lpwstr>
  </property>
  <property fmtid="{D5CDD505-2E9C-101B-9397-08002B2CF9AE}" pid="30" name="somenteleitura">
    <vt:lpwstr>N</vt:lpwstr>
  </property>
  <property fmtid="{D5CDD505-2E9C-101B-9397-08002B2CF9AE}" pid="31" name="ultimo_auto_salvamento">
    <vt:lpwstr>20/10/2023 11:50:10</vt:lpwstr>
  </property>
  <property fmtid="{D5CDD505-2E9C-101B-9397-08002B2CF9AE}" pid="32" name="ultimo_salvamento">
    <vt:lpwstr>20/10/2023 11:50:10</vt:lpwstr>
  </property>
</Properties>
</file>