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media/image2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lineRule="auto" w:line="360" w:before="0" w:after="0"/>
        <w:jc w:val="center"/>
        <w:rPr/>
      </w:pPr>
      <w:r>
        <w:rPr>
          <w:rStyle w:val="Strong"/>
          <w:rFonts w:cs="Times New Roman" w:ascii="Times New Roman" w:hAnsi="Times New Roman"/>
          <w:b/>
          <w:bCs/>
          <w:shd w:fill="FFFFFF" w:val="clear"/>
        </w:rPr>
        <w:t xml:space="preserve">RECOMENDAÇÃO Nº </w:t>
      </w:r>
      <w:r>
        <w:rPr>
          <w:rStyle w:val="Strong"/>
          <w:rFonts w:cs="Times New Roman" w:ascii="Times New Roman" w:hAnsi="Times New Roman"/>
          <w:b/>
          <w:bCs/>
          <w:highlight w:val="yellow"/>
        </w:rPr>
        <w:t>***</w:t>
      </w:r>
    </w:p>
    <w:p>
      <w:pPr>
        <w:pStyle w:val="Normal"/>
        <w:jc w:val="center"/>
        <w:rPr/>
      </w:pPr>
      <w:r>
        <w:rPr/>
      </w:r>
    </w:p>
    <w:p>
      <w:pPr>
        <w:pStyle w:val="BodyText"/>
        <w:spacing w:lineRule="auto" w:line="360" w:before="0" w:after="0"/>
        <w:jc w:val="center"/>
        <w:rPr/>
      </w:pPr>
      <w:r>
        <w:rPr>
          <w:b/>
          <w:bCs/>
        </w:rPr>
        <w:t xml:space="preserve">PROCEDIMENTO ADMINISTRATIVO nº </w:t>
      </w:r>
      <w:r>
        <w:rPr>
          <w:b/>
          <w:bCs/>
          <w:highlight w:val="yellow"/>
        </w:rPr>
        <w:t>*****</w:t>
      </w:r>
    </w:p>
    <w:p>
      <w:pPr>
        <w:pStyle w:val="Normal"/>
        <w:ind w:left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4536"/>
        <w:jc w:val="both"/>
        <w:rPr>
          <w:rStyle w:val="Strong"/>
          <w:rFonts w:ascii="Times New Roman" w:hAnsi="Times New Roman" w:eastAsia="Times New Roman" w:cs="Times New Roman"/>
          <w:b w:val="false"/>
          <w:bCs w:val="false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</w:rPr>
        <w:t>Ementa: Direito fundamental à educação. Educação para Jovens e Adultos. Busca ativa. Chamada pública. Levantamento periódico de demanda.</w:t>
      </w:r>
    </w:p>
    <w:p>
      <w:pPr>
        <w:pStyle w:val="BodyText"/>
        <w:spacing w:before="3" w:after="140"/>
        <w:ind w:left="567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widowControl/>
        <w:spacing w:lineRule="auto" w:line="360" w:before="113" w:after="113"/>
        <w:ind w:firstLine="1701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themeColor="text1" w:val="000000"/>
          <w:sz w:val="24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themeColor="text1" w:val="000000"/>
        </w:rPr>
        <w:t>O MINISTÉRIO PÚBLICO DO ESTADO DO CEARÁ</w:t>
      </w:r>
      <w:r>
        <w:rPr>
          <w:rFonts w:cs="Times New Roman" w:ascii="Times New Roman" w:hAnsi="Times New Roman"/>
          <w:color w:themeColor="text1" w:val="000000"/>
        </w:rPr>
        <w:t xml:space="preserve">, por intermédio do Promotor de Justiça titular da Promotoria de Justiça da comarca de </w:t>
      </w:r>
      <w:r>
        <w:rPr>
          <w:rFonts w:cs="Times New Roman" w:ascii="Times New Roman" w:hAnsi="Times New Roman"/>
          <w:color w:val="FF0000"/>
          <w:highlight w:val="yellow"/>
        </w:rPr>
        <w:t>**********</w:t>
      </w:r>
      <w:r>
        <w:rPr>
          <w:rFonts w:cs="Times New Roman" w:ascii="Times New Roman" w:hAnsi="Times New Roman"/>
          <w:color w:themeColor="text1" w:val="000000"/>
        </w:rPr>
        <w:t xml:space="preserve"> no uso das atribuições que lhe são conferidas pelos artigos 129, incisos III, VI e IX, da Constituição Federal de 1988; artigo 26, inciso I, e alíneas, da Lei Federal nº 8.625/93, artigo 7º, inciso I, da Lei Complementar Federal nº 75/93, art. 32, </w:t>
      </w:r>
      <w:r>
        <w:rPr>
          <w:rFonts w:cs="Times New Roman" w:ascii="Times New Roman" w:hAnsi="Times New Roman"/>
          <w:i/>
          <w:iCs/>
          <w:color w:themeColor="text1" w:val="000000"/>
        </w:rPr>
        <w:t>caput</w:t>
      </w:r>
      <w:r>
        <w:rPr>
          <w:rFonts w:cs="Times New Roman" w:ascii="Times New Roman" w:hAnsi="Times New Roman"/>
          <w:color w:themeColor="text1" w:val="000000"/>
        </w:rPr>
        <w:t xml:space="preserve">, da Lei nº </w:t>
      </w:r>
      <w:r>
        <w:rPr>
          <w:rStyle w:val="Strong"/>
          <w:rFonts w:cs="Times New Roman" w:ascii="Times New Roman" w:hAnsi="Times New Roman"/>
          <w:b w:val="false"/>
          <w:bCs w:val="false"/>
          <w:color w:themeColor="text1" w:val="000000"/>
        </w:rPr>
        <w:t xml:space="preserve">Lei nº 14.113/20, </w:t>
      </w:r>
      <w:r>
        <w:rPr>
          <w:rFonts w:cs="Times New Roman" w:ascii="Times New Roman" w:hAnsi="Times New Roman"/>
          <w:color w:themeColor="text1" w:val="000000"/>
        </w:rPr>
        <w:t>e atendendo às determinações constantes da Resolução nº 036/2016 do OECPJ/CE;</w:t>
      </w:r>
    </w:p>
    <w:p>
      <w:pPr>
        <w:pStyle w:val="BodyText"/>
        <w:widowControl/>
        <w:numPr>
          <w:ilvl w:val="0"/>
          <w:numId w:val="5"/>
        </w:numPr>
        <w:suppressAutoHyphens w:val="true"/>
        <w:bidi w:val="0"/>
        <w:spacing w:lineRule="auto" w:line="360" w:before="113" w:after="113"/>
        <w:ind w:firstLine="1701" w:left="0" w:right="0"/>
        <w:jc w:val="both"/>
        <w:rPr>
          <w:rFonts w:ascii="Times New Roman" w:hAnsi="Times New Roman" w:eastAsia="Times New Roman" w:cs="Times New Roman"/>
          <w:b/>
          <w:bCs/>
          <w:color w:val="000000"/>
          <w:kern w:val="0"/>
          <w:lang w:eastAsia="pt-BR" w:bidi="pt-BR"/>
        </w:rPr>
      </w:pPr>
      <w:r>
        <w:rPr>
          <w:rFonts w:eastAsia="Times New Roman" w:cs="Times New Roman" w:ascii="Times New Roman" w:hAnsi="Times New Roman"/>
          <w:b/>
          <w:color w:val="000000"/>
          <w:lang w:bidi="pt-BR"/>
        </w:rPr>
        <w:t>CONSIDERANDO</w:t>
      </w:r>
      <w:r>
        <w:rPr>
          <w:rFonts w:eastAsia="Times New Roman" w:cs="Times New Roman" w:ascii="Times New Roman" w:hAnsi="Times New Roman"/>
          <w:color w:val="000000"/>
          <w:lang w:bidi="pt-BR"/>
        </w:rPr>
        <w:t xml:space="preserve"> que, nos termos do art. 127 caput da CF e da Lei Complementar Estadual nº 72 de 2008, o Ministério Público é instituição permanente, essencial à função jurisdicional do Estado, incumbindo-lhe a defesa da ordem jurídica, do regime democrático e dos interesses sociais e individuais indisponíveis, sendo seu dever zelar pelo efetivo respeito dos Poderes Públicos e dos serviços de relevância pública aos direitos assegurados na Constituição Federal, promovendo as medidas necessárias a sua garantia e promover o inquérito civil e a ação civil pública, para a proteção do patrimônio público e social, do meio ambiente e de outros interesses difusos e coletivos;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360" w:before="113" w:after="113"/>
        <w:ind w:firstLine="1701" w:left="0" w:right="0"/>
        <w:jc w:val="both"/>
        <w:rPr>
          <w:rFonts w:ascii="Times New Roman" w:hAnsi="Times New Roman" w:eastAsia="Times New Roman" w:cs="Times New Roman"/>
          <w:b/>
          <w:color w:val="000000"/>
          <w:kern w:val="0"/>
          <w:lang w:eastAsia="pt-BR" w:bidi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 w:bidi="pt-BR"/>
        </w:rPr>
        <w:t>CONSIDERANDO</w:t>
      </w:r>
      <w:r>
        <w:rPr>
          <w:rFonts w:eastAsia="Times New Roman" w:cs="Times New Roman" w:ascii="Times New Roman" w:hAnsi="Times New Roman"/>
          <w:color w:val="000000"/>
          <w:kern w:val="0"/>
          <w:lang w:eastAsia="pt-BR" w:bidi="pt-BR"/>
        </w:rPr>
        <w:t xml:space="preserve"> que ao Ministério Público cabe exercer a defesa dos direitos assegurados na Constituição Federal sempre que for necessária a garantia do seu respeito pelos poderes municipais, nos termos do artigo 27, inciso I da Lei nº 8.625/93;</w:t>
      </w:r>
    </w:p>
    <w:p>
      <w:pPr>
        <w:pStyle w:val="Normal"/>
        <w:numPr>
          <w:ilvl w:val="0"/>
          <w:numId w:val="5"/>
        </w:numPr>
        <w:spacing w:lineRule="auto" w:line="360" w:before="113" w:after="113"/>
        <w:ind w:firstLine="1701" w:left="0" w:right="0"/>
        <w:jc w:val="both"/>
        <w:rPr>
          <w:rFonts w:cs="Times New Roman"/>
          <w:b/>
          <w:bCs/>
          <w:kern w:val="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 w:bidi="pt-BR"/>
        </w:rPr>
        <w:t>CONSIDERANDO</w:t>
      </w:r>
      <w:r>
        <w:rPr>
          <w:rFonts w:eastAsia="Times New Roman" w:cs="Times New Roman" w:ascii="Times New Roman" w:hAnsi="Times New Roman"/>
          <w:color w:val="000000"/>
          <w:kern w:val="0"/>
          <w:lang w:eastAsia="pt-BR" w:bidi="pt-BR"/>
        </w:rPr>
        <w:t xml:space="preserve"> que compete ao Ministério Público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lang w:eastAsia="pt-BR" w:bidi="pt-BR"/>
        </w:rPr>
        <w:t>“expedir recomendações, visando à melhoria dos serviços públicos e de relevância pública, bem como ao respeito, aos interesses, direitos e bens cuja defesa lhe cabe promover, fixando prazo razoável para a adoção das providências cabíveis”</w:t>
      </w:r>
      <w:r>
        <w:rPr>
          <w:rFonts w:eastAsia="Times New Roman" w:cs="Times New Roman" w:ascii="Times New Roman" w:hAnsi="Times New Roman"/>
          <w:color w:val="000000"/>
          <w:kern w:val="0"/>
          <w:lang w:eastAsia="pt-BR" w:bidi="pt-BR"/>
        </w:rPr>
        <w:t xml:space="preserve"> (art. 129, inciso III, da Constituição Federal, art. 6º, incisos VII, alínea “b”, primeira parte e XX, da Lei Complementar nº 75/93, art. 27, Parágrafo Único, inciso IV e art. 80 da Lei nº 8.625/1993);</w:t>
      </w:r>
    </w:p>
    <w:p>
      <w:pPr>
        <w:pStyle w:val="Normal"/>
        <w:widowControl w:val="false"/>
        <w:suppressAutoHyphens w:val="true"/>
        <w:bidi w:val="0"/>
        <w:spacing w:lineRule="auto" w:line="360" w:before="113" w:after="113"/>
        <w:ind w:firstLine="1701" w:right="0"/>
        <w:jc w:val="both"/>
        <w:rPr/>
      </w:pPr>
      <w:r>
        <w:rPr>
          <w:rFonts w:cs="Times New Roman" w:ascii="Times New Roman" w:hAnsi="Times New Roman"/>
          <w:b/>
          <w:bCs/>
          <w:kern w:val="0"/>
          <w:lang w:eastAsia="pt-BR"/>
        </w:rPr>
        <w:t>CONSIDERANDO</w:t>
      </w:r>
      <w:r>
        <w:rPr>
          <w:rFonts w:cs="Times New Roman" w:ascii="Times New Roman" w:hAnsi="Times New Roman"/>
          <w:kern w:val="0"/>
          <w:lang w:eastAsia="pt-BR"/>
        </w:rPr>
        <w:t xml:space="preserve"> que ao Ministério Público cabe exercer a defesa dos direitos assegurados na Constituição Federal, sempre que for necessária a garantia de seu respeito pelos poderes constituídos, nos termos do artigo 27, inciso I da Lei nº 8.625/93;</w:t>
      </w:r>
    </w:p>
    <w:p>
      <w:pPr>
        <w:pStyle w:val="Normal"/>
        <w:widowControl w:val="false"/>
        <w:suppressAutoHyphens w:val="true"/>
        <w:bidi w:val="0"/>
        <w:spacing w:lineRule="auto" w:line="360" w:before="113" w:after="113"/>
        <w:ind w:firstLine="1701" w:righ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CONSIDERANDO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 xml:space="preserve"> o que dispõe o artigo 205, da Constituição Federal: “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lang w:eastAsia="pt-BR"/>
        </w:rPr>
        <w:t>A educação, direito de todos e dever do Estado</w:t>
      </w:r>
      <w:r>
        <w:rPr>
          <w:rFonts w:cs="Times New Roman" w:ascii="Times New Roman" w:hAnsi="Times New Roman"/>
          <w:b w:val="false"/>
          <w:i/>
          <w:iCs/>
          <w:color w:val="000000"/>
          <w:kern w:val="0"/>
          <w:sz w:val="24"/>
          <w:szCs w:val="24"/>
          <w:lang w:eastAsia="pt-BR"/>
        </w:rPr>
        <w:t xml:space="preserve"> e da família, será promovida e incentivada com a colaboração da sociedade, visando ao pleno desenvolvimento da pessoa, seu preparo para o exercício da cidadania e sua qualificação para o trabalho”</w:t>
      </w:r>
      <w:r>
        <w:rPr>
          <w:rFonts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pt-BR"/>
        </w:rPr>
        <w:t>;</w:t>
      </w:r>
    </w:p>
    <w:p>
      <w:pPr>
        <w:pStyle w:val="Normal"/>
        <w:widowControl w:val="false"/>
        <w:suppressAutoHyphens w:val="true"/>
        <w:bidi w:val="0"/>
        <w:spacing w:lineRule="auto" w:line="360" w:before="113" w:after="113"/>
        <w:ind w:firstLine="1701" w:right="0"/>
        <w:jc w:val="both"/>
        <w:rPr/>
      </w:pPr>
      <w:r>
        <w:rPr>
          <w:rFonts w:cs="Times New Roman" w:ascii="Times New Roman" w:hAnsi="Times New Roman"/>
          <w:b/>
          <w:color w:val="000000"/>
          <w:spacing w:val="-3"/>
          <w:sz w:val="24"/>
          <w:szCs w:val="24"/>
        </w:rPr>
        <w:t xml:space="preserve">CONSIDERANDO </w:t>
      </w:r>
      <w:r>
        <w:rPr>
          <w:rFonts w:cs="Times New Roman" w:ascii="Times New Roman" w:hAnsi="Times New Roman"/>
          <w:b w:val="false"/>
          <w:color w:val="000000"/>
          <w:spacing w:val="-3"/>
          <w:sz w:val="24"/>
          <w:szCs w:val="24"/>
        </w:rPr>
        <w:t xml:space="preserve">que a educação de qualidade é direito fundamental do ser humano, inserida no rol de direitos sociais, </w:t>
      </w:r>
      <w:r>
        <w:rPr>
          <w:rFonts w:cs="Times New Roman" w:ascii="Times New Roman" w:hAnsi="Times New Roman"/>
          <w:b w:val="false"/>
          <w:color w:val="00000A"/>
          <w:spacing w:val="-3"/>
          <w:sz w:val="24"/>
          <w:szCs w:val="24"/>
          <w:lang w:bidi="ar-SA"/>
        </w:rPr>
        <w:t>consoante</w:t>
      </w:r>
      <w:r>
        <w:rPr>
          <w:rFonts w:cs="Times New Roman" w:ascii="Times New Roman" w:hAnsi="Times New Roman"/>
          <w:b w:val="false"/>
          <w:color w:val="000000"/>
          <w:spacing w:val="-3"/>
          <w:sz w:val="24"/>
          <w:szCs w:val="24"/>
        </w:rPr>
        <w:t xml:space="preserve"> firmado no artigo 6ª da Constituição</w:t>
      </w:r>
      <w:r>
        <w:rPr>
          <w:rFonts w:cs="Times New Roman" w:ascii="Times New Roman" w:hAnsi="Times New Roman"/>
          <w:b w:val="false"/>
          <w:color w:val="000000"/>
          <w:spacing w:val="-28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pacing w:val="-3"/>
          <w:sz w:val="24"/>
          <w:szCs w:val="24"/>
        </w:rPr>
        <w:t>Federal de 1988;</w:t>
      </w:r>
    </w:p>
    <w:p>
      <w:pPr>
        <w:pStyle w:val="LO-Normal11"/>
        <w:widowControl w:val="false"/>
        <w:suppressLineNumbers w:val="0"/>
        <w:suppressAutoHyphens w:val="true"/>
        <w:bidi w:val="0"/>
        <w:spacing w:lineRule="auto" w:line="360" w:before="40" w:after="40"/>
        <w:ind w:firstLine="1701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</w:rPr>
        <w:t>CONSIDERANDO</w:t>
      </w:r>
      <w:r>
        <w:rPr>
          <w:rFonts w:eastAsia="Times New Roman" w:cs="Times New Roman" w:ascii="Times New Roman" w:hAnsi="Times New Roman"/>
          <w:b w:val="false"/>
          <w:color w:val="000000"/>
          <w:spacing w:val="-3"/>
          <w:sz w:val="24"/>
          <w:szCs w:val="24"/>
        </w:rPr>
        <w:t xml:space="preserve"> que a Lei n. 9.394/96 (Lei de Diretrizes e Bases da Educação Nacional) estabelece 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4"/>
          <w:szCs w:val="24"/>
        </w:rPr>
        <w:t>oferta de educação escolar regular para jovens e adultos, com características e modalidades adequadas às suas necessidades e disponibilidades, garantindo-se aos que forem trabalhadores as condições de acesso e permanência na escola;</w:t>
      </w:r>
      <w:r>
        <w:rPr>
          <w:rFonts w:eastAsia="Times New Roman" w:cs="Times New Roman" w:ascii="Times New Roman" w:hAnsi="Times New Roman"/>
          <w:b w:val="false"/>
          <w:color w:val="000000"/>
          <w:spacing w:val="-3"/>
          <w:sz w:val="24"/>
          <w:szCs w:val="24"/>
        </w:rPr>
        <w:t xml:space="preserve"> (art. 4º, inciso VII); </w:t>
      </w:r>
    </w:p>
    <w:p>
      <w:pPr>
        <w:pStyle w:val="LO-Normal11"/>
        <w:spacing w:lineRule="auto" w:line="360" w:before="40" w:after="40"/>
        <w:ind w:firstLine="1701" w:left="0" w:right="0"/>
        <w:jc w:val="both"/>
        <w:rPr>
          <w:rFonts w:eastAsia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lang w:val="pt-PT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themeColor="text1" w:val="000000"/>
          <w:spacing w:val="-3"/>
          <w:sz w:val="24"/>
          <w:szCs w:val="24"/>
          <w:lang w:val="pt-PT"/>
        </w:rPr>
        <w:t>CONSIDERANDO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spacing w:val="-3"/>
          <w:sz w:val="24"/>
          <w:szCs w:val="24"/>
          <w:lang w:val="pt-PT"/>
        </w:rPr>
        <w:t xml:space="preserve"> que o Plano Nacional de Educação, aprovado por meio da Lei nº13.005/2014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F1F1F"/>
          <w:spacing w:val="0"/>
          <w:sz w:val="24"/>
          <w:szCs w:val="24"/>
          <w:lang w:val="pt-PT"/>
        </w:rPr>
        <w:t>—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spacing w:val="-3"/>
          <w:sz w:val="24"/>
          <w:szCs w:val="24"/>
          <w:lang w:val="pt-PT"/>
        </w:rPr>
        <w:t xml:space="preserve"> e prorrogado até 31 de dezembro de 2025 pela Lei nº 14.934/2024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F1F1F"/>
          <w:spacing w:val="0"/>
          <w:sz w:val="24"/>
          <w:szCs w:val="24"/>
          <w:lang w:val="pt-PT"/>
        </w:rPr>
        <w:t>—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spacing w:val="-3"/>
          <w:sz w:val="24"/>
          <w:szCs w:val="24"/>
          <w:lang w:val="pt-PT"/>
        </w:rPr>
        <w:t>, implementa, entre suas estratégias, programas de educação de jovens e adultos para os segmentos populacionais considerados, que estejam fora da escola e com defasagem idade-série, associados a outras estratégias que garantam a continuidade da escolarização, após a alfabetização inicial;</w:t>
      </w:r>
    </w:p>
    <w:p>
      <w:pPr>
        <w:pStyle w:val="LO-Normal11"/>
        <w:widowControl w:val="false"/>
        <w:suppressLineNumbers w:val="0"/>
        <w:suppressAutoHyphens w:val="true"/>
        <w:bidi w:val="0"/>
        <w:spacing w:lineRule="auto" w:line="360" w:before="40" w:after="40"/>
        <w:ind w:firstLine="1701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</w:rPr>
        <w:t xml:space="preserve">CONSIDERANDO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-3"/>
          <w:sz w:val="24"/>
          <w:szCs w:val="24"/>
          <w:lang w:val="pt-BR" w:eastAsia="zh-CN" w:bidi="hi-IN"/>
        </w:rPr>
        <w:t>o Pacto Nacional pela Superação do Analfabetismo e Qualificação na Educação de Jovens e Adultos cujo objetivo é superar o analfabetismo, elevar a escolaridade e ampliar a oferta de matrículas na EJA nos sistemas públicos de ensino, inclusive entre os estudantes privados de liberdade;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701" w:right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CONSIDERANDO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que nos termos do art. 37 da Lei nº 9.394/96, a "educação de jovens e adultos será destinada àqueles que não tiveram acesso ou continuidade de estudos nos ensinos fundamental e médio na idade própria e constituirá instrumento para a educação e a aprendizagem ao longo da vida.";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644" w:righ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 xml:space="preserve">CONSIDERANDO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a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Resolução CNE/CEB nº 3, de 8 de abril de 2025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, que institui as Diretrizes Operacionais Nacionais para a Educação de Jovens e Adultos – EJA.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701" w:righ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 xml:space="preserve">CONSIDERANDO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a Resoluç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pt-BR" w:eastAsia="zh-CN" w:bidi="hi-IN"/>
        </w:rPr>
        <w:t>ão nº 438/2012 do Conselho Estadual de Educação do Ceará, que dispõe sobre a Educação de Jovens e Adultos;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701" w:righ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 xml:space="preserve">CONSIDERANDO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que a Resoluç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pt-BR" w:eastAsia="zh-CN" w:bidi="hi-IN"/>
        </w:rPr>
        <w:t>ão nº 488/2021 do Conselho Estadual de Educação estabelece normas complementares para regulamentar a oferta de cursos e programas de Ensino Médio, de Educação Profissional Técnica de Nível Médio, e de Educação de Jovens e Adultos (EJA), nas etapas do Ensino Fundamental e do Ensino Médio, na Educação Especial na modalidade de Educação a Distância (EaD), para o Sistema de Ensino do Estado do Ceará, e dá outras providências;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701" w:right="0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pt-BR" w:eastAsia="zh-CN" w:bidi="hi-IN"/>
        </w:rPr>
        <w:t>CONSIDERANDO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pt-BR" w:eastAsia="zh-CN" w:bidi="hi-IN"/>
        </w:rPr>
        <w:t xml:space="preserve"> o Parecer nº 0709/2017, de 5 de setembro de 2017, da Câmara de Educação Básica do Conselho Estadual de Educação do Ceará, que autoriza a Secretaria da Educação do Estado do Ceará a viabilizar a certificação de conclusão do curso de ensino fundamental dos jovens e adultos aprovados no Exame Nacional de Certificação de Competências (Encceja), por meio dos Centros de Educação de Jovens e Adultos (Cejas), ampliando a certificação de conclusão ou declaração de proficiência em uma ou mais disciplinas para os candidatos aprovados no curso do ensino médio desse Exame, em todo o Estado do Ceará.</w:t>
      </w:r>
    </w:p>
    <w:p>
      <w:pPr>
        <w:pStyle w:val="Normal"/>
        <w:widowControl/>
        <w:suppressAutoHyphens w:val="true"/>
        <w:bidi w:val="0"/>
        <w:spacing w:lineRule="auto" w:line="360" w:beforeAutospacing="0" w:before="40" w:afterAutospacing="0" w:after="40"/>
        <w:ind w:firstLine="1701" w:left="0" w:right="0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4"/>
          <w:szCs w:val="24"/>
          <w:lang w:val="pt-PT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lang w:val="pt-PT"/>
        </w:rPr>
      </w:r>
    </w:p>
    <w:p>
      <w:pPr>
        <w:pStyle w:val="Normal"/>
        <w:widowControl/>
        <w:suppressAutoHyphens w:val="true"/>
        <w:bidi w:val="0"/>
        <w:spacing w:lineRule="auto" w:line="360" w:beforeAutospacing="0" w:before="40" w:afterAutospacing="0" w:after="40"/>
        <w:ind w:firstLine="1701" w:left="0" w:right="0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4"/>
          <w:szCs w:val="24"/>
          <w:lang w:val="pt-PT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val="pt-PT"/>
        </w:rPr>
        <w:t>RESOLVE:</w:t>
      </w:r>
    </w:p>
    <w:p>
      <w:pPr>
        <w:pStyle w:val="Normal"/>
        <w:widowControl/>
        <w:suppressAutoHyphens w:val="true"/>
        <w:bidi w:val="0"/>
        <w:spacing w:lineRule="auto" w:line="360" w:beforeAutospacing="0" w:before="40" w:afterAutospacing="0" w:after="40"/>
        <w:ind w:firstLine="1701" w:left="0" w:right="0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4"/>
          <w:szCs w:val="24"/>
          <w:lang w:val="pt-PT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lang w:val="pt-PT"/>
        </w:rPr>
      </w:r>
    </w:p>
    <w:p>
      <w:pPr>
        <w:pStyle w:val="Normal"/>
        <w:widowControl/>
        <w:suppressAutoHyphens w:val="true"/>
        <w:bidi w:val="0"/>
        <w:spacing w:lineRule="auto" w:line="360" w:beforeAutospacing="0" w:before="40" w:afterAutospacing="0" w:after="40"/>
        <w:ind w:firstLine="1701" w:left="0" w:right="0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4"/>
          <w:szCs w:val="24"/>
          <w:lang w:val="pt-PT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val="pt-PT"/>
        </w:rPr>
        <w:t>RECOMENDAR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lang w:val="pt-PT"/>
        </w:rPr>
        <w:t xml:space="preserve"> ao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shd w:fill="auto" w:val="clear"/>
          <w:lang w:val="pt-PT"/>
        </w:rPr>
        <w:t>Exmo(a). Secretário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shd w:fill="auto" w:val="clear"/>
          <w:lang w:val="pt-PT"/>
        </w:rPr>
        <w:t>(a)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shd w:fill="auto" w:val="clear"/>
          <w:lang w:val="pt-PT"/>
        </w:rPr>
        <w:t xml:space="preserve"> de Educação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shd w:fill="auto" w:val="clear"/>
          <w:lang w:val="pt-PT"/>
        </w:rPr>
        <w:t xml:space="preserve">do Estado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shd w:fill="auto" w:val="clear"/>
          <w:lang w:val="pt-PT"/>
        </w:rPr>
        <w:t xml:space="preserve">do Ceará,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shd w:fill="auto" w:val="clear"/>
          <w:lang w:val="pt-PT"/>
        </w:rPr>
        <w:t xml:space="preserve">Sr(a).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shd w:fill="FFFF00" w:val="clear"/>
          <w:lang w:val="pt-PT"/>
        </w:rPr>
        <w:t>*********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shd w:fill="auto" w:val="clear"/>
          <w:lang w:val="pt-PT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lang w:val="pt-PT"/>
        </w:rPr>
        <w:t xml:space="preserve">a adoção das providências administrativas adiante delineadas, com a finalidade de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shd w:fill="FFFF00" w:val="clear"/>
          <w:lang w:val="pt-PT"/>
        </w:rPr>
        <w:t>reordenar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shd w:fill="auto" w:val="clear"/>
          <w:lang w:val="pt-PT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shd w:fill="81D41A" w:val="clear"/>
          <w:lang w:val="pt-PT"/>
        </w:rPr>
        <w:t>ou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shd w:fill="auto" w:val="clear"/>
          <w:lang w:val="pt-PT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shd w:fill="FFFF00" w:val="clear"/>
          <w:lang w:val="pt-PT"/>
        </w:rPr>
        <w:t>qualificar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lang w:val="pt-PT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lang w:val="pt-PT"/>
        </w:rPr>
        <w:t xml:space="preserve">a Educação de Jovens e Adultos – EJA na rede estadual de ensino nas escolas da rede estadual de ensino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lang w:val="pt-PT"/>
        </w:rPr>
        <w:t>localizadas no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lang w:val="pt-PT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shd w:fill="FFFF00" w:val="clear"/>
          <w:lang w:val="pt-PT"/>
        </w:rPr>
        <w:t>município *********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4"/>
          <w:szCs w:val="24"/>
          <w:lang w:val="pt-PT"/>
        </w:rPr>
        <w:t>:</w:t>
      </w:r>
    </w:p>
    <w:p>
      <w:pPr>
        <w:pStyle w:val="BodyText"/>
        <w:widowControl w:val="false"/>
        <w:suppressAutoHyphens w:val="true"/>
        <w:bidi w:val="0"/>
        <w:spacing w:lineRule="auto" w:line="360" w:before="113" w:after="113"/>
        <w:ind w:firstLine="1701" w:left="0" w:right="0"/>
        <w:jc w:val="both"/>
        <w:textAlignment w:val="baseline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lang w:val="pt-BR"/>
        </w:rPr>
        <w:t xml:space="preserve">1. Estabelecer, no prazo máximo de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shd w:fill="FFFF00" w:val="clear"/>
          <w:lang w:val="pt-BR"/>
        </w:rPr>
        <w:t>*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shd w:fill="FFFF00" w:val="clear"/>
          <w:lang w:val="pt-BR"/>
        </w:rPr>
        <w:t>20 (vinte) dias úteis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lang w:val="pt-BR"/>
        </w:rPr>
        <w:t>, diretrizes para a realização contínua de levantamento da demanda por vagas na Educação de Jovens e Adultos (EJA), com a inclusão, no mínimo, dos seguintes aspectos:</w:t>
      </w:r>
    </w:p>
    <w:p>
      <w:pPr>
        <w:pStyle w:val="BodyText"/>
        <w:widowControl w:val="false"/>
        <w:suppressAutoHyphens w:val="true"/>
        <w:bidi w:val="0"/>
        <w:spacing w:lineRule="auto" w:line="288" w:before="0" w:after="140"/>
        <w:ind w:firstLine="1701" w:left="0" w:right="0"/>
        <w:jc w:val="both"/>
        <w:textAlignment w:val="baseline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lang w:val="pt-BR" w:eastAsia="zh-CN" w:bidi="hi-IN"/>
        </w:rPr>
        <w:t>A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lang w:val="pt-BR" w:eastAsia="zh-CN" w:bidi="hi-IN"/>
        </w:rPr>
        <w:t xml:space="preserve"> – Elaboração de estratégias para a realização periódica de chamadas públicas direcionadas ao público-alvo da EJA, com definição de ações de comunicação e conscientização para alcançar a população que pode estar interessada na ofert</w:t>
      </w:r>
      <w:r>
        <w:rPr/>
        <w:t>a educacional.</w:t>
      </w:r>
    </w:p>
    <w:p>
      <w:pPr>
        <w:pStyle w:val="Normal"/>
        <w:widowControl/>
        <w:spacing w:lineRule="auto" w:line="360" w:beforeAutospacing="0" w:before="40" w:afterAutospacing="0" w:after="40"/>
        <w:ind w:firstLine="1701" w:left="0" w:right="0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lang w:val="pt-PT"/>
        </w:rPr>
        <w:t>B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lang w:val="pt-PT"/>
        </w:rPr>
        <w:t xml:space="preserve"> –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themeColor="text1" w:val="000000"/>
          <w:lang w:val="pt-PT"/>
        </w:rPr>
        <w:t>Desenvolvimento de medidas para a busca ativa, de forma intersetorial e contínua, de jovens e adultos que ainda não tenham completado a educação básica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lang w:val="pt-PT"/>
        </w:rPr>
        <w:t>, assegurando que todos os potenciais alunos sejam localizados e incentivados a concluir seus estudos.</w:t>
      </w:r>
    </w:p>
    <w:p>
      <w:pPr>
        <w:pStyle w:val="BodyText"/>
        <w:widowControl w:val="false"/>
        <w:suppressAutoHyphens w:val="true"/>
        <w:bidi w:val="0"/>
        <w:spacing w:lineRule="auto" w:line="288" w:before="0" w:after="140"/>
        <w:ind w:firstLine="1701" w:left="0" w:right="0"/>
        <w:jc w:val="both"/>
        <w:textAlignment w:val="baseline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lang w:val="pt-BR" w:eastAsia="zh-CN" w:bidi="hi-IN"/>
        </w:rPr>
        <w:t>C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lang w:val="pt-BR" w:eastAsia="zh-CN" w:bidi="hi-IN"/>
        </w:rPr>
        <w:t xml:space="preserve"> – Definição de protocolos para o gerenciamento das demandas quando houver impossibilidade de atendimento imediato, garantindo que as solicitações de matrícula sejam devidamente registradas e monitoradas para posterior atendimento.</w:t>
      </w:r>
    </w:p>
    <w:p>
      <w:pPr>
        <w:pStyle w:val="BodyText"/>
        <w:widowControl w:val="false"/>
        <w:suppressAutoHyphens w:val="true"/>
        <w:bidi w:val="0"/>
        <w:spacing w:lineRule="auto" w:line="288" w:before="0" w:after="140"/>
        <w:ind w:firstLine="1701" w:left="0" w:right="0"/>
        <w:jc w:val="both"/>
        <w:textAlignment w:val="baseline"/>
        <w:rPr>
          <w:rStyle w:val="Strong"/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shd w:fill="81D41A" w:val="clear"/>
          <w:lang w:val="pt-BR" w:eastAsia="zh-CN" w:bidi="hi-I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88" w:before="0" w:after="140"/>
        <w:ind w:firstLine="1701" w:left="0" w:right="0"/>
        <w:jc w:val="both"/>
        <w:textAlignment w:val="baseline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lang w:val="pt-BR" w:eastAsia="zh-CN" w:bidi="hi-IN"/>
        </w:rPr>
        <w:t xml:space="preserve">2. Apresentar, no prazo de até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shd w:fill="FFFF00" w:val="clear"/>
          <w:lang w:val="pt-BR" w:eastAsia="zh-CN" w:bidi="hi-IN"/>
        </w:rPr>
        <w:t>*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shd w:fill="FFFF00" w:val="clear"/>
          <w:lang w:val="pt-BR" w:eastAsia="zh-CN" w:bidi="hi-IN"/>
        </w:rPr>
        <w:t>20 (vinte) dias úteis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lang w:val="pt-BR" w:eastAsia="zh-CN" w:bidi="hi-IN"/>
        </w:rPr>
        <w:t xml:space="preserve"> após a definição das diretrizes mencionadas no item anterior, um plano de ação detalhado para a operacionalização dessas diretrizes no ano em curso, com foco na execução eficiente do levantamento de demanda na EJA e garantia de atendimento à população.</w:t>
      </w:r>
    </w:p>
    <w:p>
      <w:pPr>
        <w:pStyle w:val="BodyText"/>
        <w:widowControl w:val="false"/>
        <w:suppressAutoHyphens w:val="true"/>
        <w:bidi w:val="0"/>
        <w:spacing w:lineRule="auto" w:line="288" w:before="0" w:after="140"/>
        <w:ind w:firstLine="1701" w:left="0" w:right="0"/>
        <w:jc w:val="both"/>
        <w:textAlignment w:val="baseline"/>
        <w:rPr>
          <w:rStyle w:val="Strong"/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lang w:val="pt-BR" w:eastAsia="zh-CN" w:bidi="hi-IN"/>
        </w:rPr>
      </w:r>
    </w:p>
    <w:p>
      <w:pPr>
        <w:pStyle w:val="Normal"/>
        <w:widowControl/>
        <w:numPr>
          <w:ilvl w:val="0"/>
          <w:numId w:val="4"/>
        </w:numPr>
        <w:spacing w:lineRule="auto" w:line="360" w:before="113" w:after="113"/>
        <w:ind w:firstLine="1701"/>
        <w:jc w:val="both"/>
        <w:textAlignment w:val="auto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O Ministério Público Estadual deverá ser comunicado (através dos endereços de e-mail: </w:t>
      </w:r>
      <w:r>
        <w:rPr>
          <w:rFonts w:eastAsia="Times New Roman" w:cs="Times New Roman" w:ascii="Times New Roman" w:hAnsi="Times New Roman"/>
          <w:b/>
          <w:bCs/>
          <w:color w:val="FF0000"/>
          <w:highlight w:val="yellow"/>
        </w:rPr>
        <w:t>**********</w:t>
      </w:r>
      <w:r>
        <w:rPr>
          <w:rFonts w:eastAsia="Times New Roman" w:cs="Times New Roman" w:ascii="Times New Roman" w:hAnsi="Times New Roman"/>
        </w:rPr>
        <w:t xml:space="preserve">), </w:t>
      </w:r>
      <w:r>
        <w:rPr>
          <w:rFonts w:eastAsia="Times New Roman" w:cs="Times New Roman" w:ascii="Times New Roman" w:hAnsi="Times New Roman"/>
          <w:highlight w:val="yellow"/>
        </w:rPr>
        <w:t xml:space="preserve">no prazo de </w:t>
      </w:r>
      <w:r>
        <w:rPr>
          <w:rFonts w:eastAsia="Times New Roman" w:cs="Times New Roman" w:ascii="Times New Roman" w:hAnsi="Times New Roman"/>
          <w:b/>
          <w:bCs/>
          <w:color w:val="FF0000"/>
          <w:highlight w:val="yellow"/>
        </w:rPr>
        <w:t>**********</w:t>
      </w:r>
      <w:r>
        <w:rPr>
          <w:rFonts w:eastAsia="Times New Roman" w:cs="Times New Roman" w:ascii="Times New Roman" w:hAnsi="Times New Roman"/>
        </w:rPr>
        <w:t>, a partir do recebimento da presente, sobre o acolhimento ou não da RECOMENDAÇÃO, com o encaminhamento de documentos hábeis a comprovar a efetivação das medidas.</w:t>
      </w:r>
    </w:p>
    <w:p>
      <w:pPr>
        <w:pStyle w:val="Normal"/>
        <w:widowControl/>
        <w:numPr>
          <w:ilvl w:val="0"/>
          <w:numId w:val="4"/>
        </w:numPr>
        <w:spacing w:lineRule="auto" w:line="360" w:before="113" w:after="113"/>
        <w:ind w:firstLine="1701"/>
        <w:jc w:val="both"/>
        <w:textAlignment w:val="auto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Encaminhe-se cópia desta Recomendação ao </w:t>
      </w:r>
      <w:r>
        <w:rPr>
          <w:rFonts w:eastAsia="Times New Roman" w:cs="Times New Roman" w:ascii="Times New Roman" w:hAnsi="Times New Roman"/>
          <w:u w:val="single"/>
        </w:rPr>
        <w:t>Centro de Apoio Operacional da Educação – CAOEDUC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"/>
        <w:widowControl/>
        <w:numPr>
          <w:ilvl w:val="0"/>
          <w:numId w:val="4"/>
        </w:numPr>
        <w:spacing w:lineRule="auto" w:line="360" w:before="113" w:after="113"/>
        <w:ind w:firstLine="1701"/>
        <w:jc w:val="both"/>
        <w:textAlignment w:val="auto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Publique-se no Diário Oficial do MPCE.</w:t>
      </w:r>
    </w:p>
    <w:p>
      <w:pPr>
        <w:pStyle w:val="Normal"/>
        <w:widowControl/>
        <w:numPr>
          <w:ilvl w:val="0"/>
          <w:numId w:val="4"/>
        </w:numPr>
        <w:spacing w:lineRule="auto" w:line="360" w:before="113" w:after="113"/>
        <w:ind w:firstLine="1701"/>
        <w:jc w:val="both"/>
        <w:textAlignment w:val="auto"/>
        <w:rPr>
          <w:rFonts w:ascii="Times New Roman" w:hAnsi="Times New Roman" w:cs="Times New Roman"/>
          <w:b/>
          <w:bCs/>
          <w:color w:val="FF0000"/>
          <w:highlight w:val="yellow"/>
        </w:rPr>
      </w:pPr>
      <w:r>
        <w:rPr>
          <w:rFonts w:eastAsia="Times New Roman" w:cs="Times New Roman" w:ascii="Times New Roman" w:hAnsi="Times New Roman"/>
        </w:rPr>
        <w:t>Registre-se.</w:t>
      </w:r>
    </w:p>
    <w:p>
      <w:pPr>
        <w:pStyle w:val="BodyText"/>
        <w:spacing w:lineRule="auto" w:line="36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  <w:color w:val="FF0000"/>
          <w:highlight w:val="yellow"/>
        </w:rPr>
        <w:t>**********</w:t>
      </w:r>
      <w:r>
        <w:rPr>
          <w:rFonts w:cs="Times New Roman" w:ascii="Times New Roman" w:hAnsi="Times New Roman"/>
          <w:b/>
          <w:bCs/>
        </w:rPr>
        <w:t>,</w:t>
      </w:r>
      <w:r>
        <w:rPr>
          <w:rFonts w:cs="Times New Roman" w:ascii="Times New Roman" w:hAnsi="Times New Roman"/>
          <w:b/>
          <w:bCs/>
          <w:color w:val="FF0000"/>
        </w:rPr>
        <w:t xml:space="preserve"> </w:t>
      </w:r>
      <w:r>
        <w:rPr>
          <w:rFonts w:cs="Times New Roman" w:ascii="Times New Roman" w:hAnsi="Times New Roman"/>
          <w:b/>
          <w:bCs/>
          <w:color w:val="FF0000"/>
          <w:highlight w:val="yellow"/>
        </w:rPr>
        <w:t>**</w:t>
      </w:r>
      <w:r>
        <w:rPr>
          <w:rFonts w:cs="Times New Roman" w:ascii="Times New Roman" w:hAnsi="Times New Roman"/>
          <w:b/>
          <w:bCs/>
          <w:color w:val="FF0000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de </w:t>
      </w:r>
      <w:r>
        <w:rPr>
          <w:rFonts w:cs="Times New Roman" w:ascii="Times New Roman" w:hAnsi="Times New Roman"/>
          <w:b/>
          <w:bCs/>
          <w:color w:val="FF0000"/>
          <w:highlight w:val="yellow"/>
        </w:rPr>
        <w:t>**********</w:t>
      </w:r>
      <w:r>
        <w:rPr>
          <w:rFonts w:cs="Times New Roman" w:ascii="Times New Roman" w:hAnsi="Times New Roman"/>
          <w:b/>
          <w:bCs/>
        </w:rPr>
        <w:t xml:space="preserve"> de 20</w:t>
      </w:r>
      <w:r>
        <w:rPr>
          <w:rFonts w:cs="Times New Roman" w:ascii="Times New Roman" w:hAnsi="Times New Roman"/>
          <w:b/>
          <w:bCs/>
          <w:highlight w:val="yellow"/>
        </w:rPr>
        <w:t>2</w:t>
      </w:r>
      <w:r>
        <w:rPr>
          <w:rFonts w:cs="Times New Roman" w:ascii="Times New Roman" w:hAnsi="Times New Roman"/>
          <w:b/>
          <w:bCs/>
          <w:color w:val="FF0000"/>
          <w:highlight w:val="yellow"/>
        </w:rPr>
        <w:t>*</w:t>
      </w:r>
      <w:r>
        <w:rPr>
          <w:rFonts w:cs="Times New Roman" w:ascii="Times New Roman" w:hAnsi="Times New Roman"/>
          <w:b/>
          <w:bCs/>
        </w:rPr>
        <w:t>.</w:t>
      </w:r>
    </w:p>
    <w:p>
      <w:pPr>
        <w:pStyle w:val="ListParagraph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spacing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Cs w:val="24"/>
          <w:highlight w:val="yellow"/>
        </w:rPr>
        <w:t xml:space="preserve">********* </w:t>
      </w:r>
    </w:p>
    <w:p>
      <w:pPr>
        <w:pStyle w:val="ListParagraph"/>
        <w:spacing w:before="0" w:after="0"/>
        <w:ind w:left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Cs w:val="24"/>
        </w:rPr>
        <w:t>Promotor(a) de Justiça</w:t>
      </w:r>
    </w:p>
    <w:p>
      <w:pPr>
        <w:pStyle w:val="BodyText"/>
        <w:spacing w:lineRule="auto" w:line="360" w:before="0" w:after="140"/>
        <w:jc w:val="center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415" w:gutter="0" w:header="1134" w:top="2268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Garamond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Graphik-MediumItalic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1"/>
      <w:rPr>
        <w:sz w:val="12"/>
        <w:szCs w:val="12"/>
      </w:rPr>
    </w:pPr>
    <w:r>
      <w:rPr>
        <w:sz w:val="12"/>
        <w:szCs w:val="12"/>
      </w:rPr>
    </w:r>
  </w:p>
  <w:p>
    <w:pPr>
      <w:pStyle w:val="Rodap1"/>
      <w:rPr>
        <w:b/>
        <w:bCs/>
        <w:sz w:val="18"/>
        <w:szCs w:val="18"/>
        <w:highlight w:val="yellow"/>
      </w:rPr>
    </w:pPr>
    <w:r>
      <w:rPr/>
      <w:drawing>
        <wp:inline distT="0" distB="0" distL="0" distR="0">
          <wp:extent cx="5600700" cy="76200"/>
          <wp:effectExtent l="0" t="0" r="0" b="0"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1" t="-9019" r="-171" b="-9019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762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</w:p>
  <w:p>
    <w:pPr>
      <w:pStyle w:val="Footer"/>
      <w:jc w:val="center"/>
      <w:rPr>
        <w:rFonts w:ascii="Times New Roman" w:hAnsi="Times New Roman" w:cs="Times New Roman"/>
        <w:sz w:val="18"/>
        <w:szCs w:val="18"/>
        <w:highlight w:val="yellow"/>
      </w:rPr>
    </w:pPr>
    <w:r>
      <w:rPr>
        <w:rFonts w:cs="Times New Roman" w:ascii="Times New Roman" w:hAnsi="Times New Roman"/>
        <w:b/>
        <w:sz w:val="18"/>
        <w:szCs w:val="18"/>
        <w:highlight w:val="yellow"/>
      </w:rPr>
      <w:t>Promotoria de Justiça de **********</w:t>
    </w:r>
    <w:r>
      <w:rPr>
        <w:rFonts w:cs="Times New Roman" w:ascii="Times New Roman" w:hAnsi="Times New Roman"/>
        <w:sz w:val="18"/>
        <w:szCs w:val="18"/>
        <w:highlight w:val="yellow"/>
      </w:rPr>
      <w:br/>
      <w:t>ENDEREÇO – CEP: ********** – **********-CE</w:t>
    </w:r>
  </w:p>
  <w:p>
    <w:pPr>
      <w:pStyle w:val="Footer"/>
      <w:jc w:val="center"/>
      <w:rPr/>
    </w:pPr>
    <w:r>
      <w:rPr>
        <w:rFonts w:cs="Times New Roman" w:ascii="Times New Roman" w:hAnsi="Times New Roman"/>
        <w:sz w:val="18"/>
        <w:szCs w:val="18"/>
        <w:highlight w:val="yellow"/>
      </w:rPr>
      <w:t>E-mail: **********@mpce.mp.br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1"/>
      <w:rPr>
        <w:sz w:val="12"/>
        <w:szCs w:val="12"/>
      </w:rPr>
    </w:pPr>
    <w:r>
      <w:rPr>
        <w:sz w:val="12"/>
        <w:szCs w:val="12"/>
      </w:rPr>
    </w:r>
  </w:p>
  <w:p>
    <w:pPr>
      <w:pStyle w:val="Rodap1"/>
      <w:rPr>
        <w:b/>
        <w:bCs/>
        <w:sz w:val="18"/>
        <w:szCs w:val="18"/>
        <w:highlight w:val="yellow"/>
      </w:rPr>
    </w:pPr>
    <w:r>
      <w:rPr/>
      <w:drawing>
        <wp:inline distT="0" distB="0" distL="0" distR="0">
          <wp:extent cx="5600700" cy="76200"/>
          <wp:effectExtent l="0" t="0" r="0" b="0"/>
          <wp:docPr id="4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1" t="-9019" r="-171" b="-9019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762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</w:p>
  <w:p>
    <w:pPr>
      <w:pStyle w:val="Footer"/>
      <w:jc w:val="center"/>
      <w:rPr>
        <w:rFonts w:ascii="Times New Roman" w:hAnsi="Times New Roman" w:cs="Times New Roman"/>
        <w:sz w:val="18"/>
        <w:szCs w:val="18"/>
        <w:highlight w:val="yellow"/>
      </w:rPr>
    </w:pPr>
    <w:r>
      <w:rPr>
        <w:rFonts w:cs="Times New Roman" w:ascii="Times New Roman" w:hAnsi="Times New Roman"/>
        <w:b/>
        <w:sz w:val="18"/>
        <w:szCs w:val="18"/>
        <w:highlight w:val="yellow"/>
      </w:rPr>
      <w:t>Promotoria de Justiça de **********</w:t>
    </w:r>
    <w:r>
      <w:rPr>
        <w:rFonts w:cs="Times New Roman" w:ascii="Times New Roman" w:hAnsi="Times New Roman"/>
        <w:sz w:val="18"/>
        <w:szCs w:val="18"/>
        <w:highlight w:val="yellow"/>
      </w:rPr>
      <w:br/>
      <w:t>ENDEREÇO – CEP: ********** – **********-CE</w:t>
    </w:r>
  </w:p>
  <w:p>
    <w:pPr>
      <w:pStyle w:val="Footer"/>
      <w:jc w:val="center"/>
      <w:rPr/>
    </w:pPr>
    <w:r>
      <w:rPr>
        <w:rFonts w:cs="Times New Roman" w:ascii="Times New Roman" w:hAnsi="Times New Roman"/>
        <w:sz w:val="18"/>
        <w:szCs w:val="18"/>
        <w:highlight w:val="yellow"/>
      </w:rPr>
      <w:t>E-mail: **********@mpce.mp.br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240"/>
      <w:rPr>
        <w:sz w:val="8"/>
        <w:szCs w:val="8"/>
      </w:rPr>
    </w:pPr>
    <w:r>
      <w:rPr/>
      <w:drawing>
        <wp:inline distT="0" distB="0" distL="0" distR="0">
          <wp:extent cx="5591175" cy="5524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1" t="-1661" r="-171" b="-1661"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Textbody"/>
      <w:spacing w:lineRule="auto" w:line="240"/>
      <w:jc w:val="center"/>
      <w:rPr>
        <w:sz w:val="8"/>
        <w:szCs w:val="8"/>
      </w:rPr>
    </w:pPr>
    <w:r>
      <w:rPr>
        <w:sz w:val="8"/>
        <w:szCs w:val="8"/>
      </w:rPr>
    </w:r>
  </w:p>
  <w:p>
    <w:pPr>
      <w:pStyle w:val="BodyText"/>
      <w:spacing w:lineRule="auto" w:line="240"/>
      <w:jc w:val="center"/>
      <w:rPr>
        <w:rFonts w:cs="Times New Roman"/>
        <w:b/>
        <w:sz w:val="22"/>
        <w:szCs w:val="22"/>
        <w:shd w:fill="FFFF00" w:val="clear"/>
      </w:rPr>
    </w:pPr>
    <w:r>
      <w:rPr>
        <w:rFonts w:cs="Times New Roman"/>
        <w:b/>
        <w:sz w:val="22"/>
        <w:szCs w:val="22"/>
        <w:highlight w:val="yellow"/>
        <w:shd w:fill="FFFF00" w:val="clear"/>
      </w:rPr>
      <w:t>**ª PROMOTORIA DE JUSTIÇA DA COMARCA DE ********</w:t>
    </w:r>
  </w:p>
  <w:p>
    <w:pPr>
      <w:pStyle w:val="Textbody"/>
      <w:spacing w:lineRule="auto" w:line="240" w:before="0" w:after="57"/>
      <w:jc w:val="center"/>
      <w:rPr>
        <w:sz w:val="8"/>
        <w:szCs w:val="8"/>
      </w:rPr>
    </w:pPr>
    <w:r>
      <w:rPr>
        <w:sz w:val="8"/>
        <w:szCs w:val="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240"/>
      <w:rPr>
        <w:sz w:val="8"/>
        <w:szCs w:val="8"/>
      </w:rPr>
    </w:pPr>
    <w:r>
      <w:rPr/>
      <w:drawing>
        <wp:inline distT="0" distB="0" distL="0" distR="0">
          <wp:extent cx="5591175" cy="55245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1" t="-1661" r="-171" b="-1661"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Textbody"/>
      <w:spacing w:lineRule="auto" w:line="240"/>
      <w:jc w:val="center"/>
      <w:rPr>
        <w:sz w:val="8"/>
        <w:szCs w:val="8"/>
      </w:rPr>
    </w:pPr>
    <w:r>
      <w:rPr>
        <w:sz w:val="8"/>
        <w:szCs w:val="8"/>
      </w:rPr>
    </w:r>
  </w:p>
  <w:p>
    <w:pPr>
      <w:pStyle w:val="BodyText"/>
      <w:spacing w:lineRule="auto" w:line="240"/>
      <w:jc w:val="center"/>
      <w:rPr>
        <w:rFonts w:cs="Times New Roman"/>
        <w:b/>
        <w:sz w:val="22"/>
        <w:szCs w:val="22"/>
        <w:shd w:fill="FFFF00" w:val="clear"/>
      </w:rPr>
    </w:pPr>
    <w:r>
      <w:rPr>
        <w:rFonts w:cs="Times New Roman"/>
        <w:b/>
        <w:sz w:val="22"/>
        <w:szCs w:val="22"/>
        <w:highlight w:val="yellow"/>
        <w:shd w:fill="FFFF00" w:val="clear"/>
      </w:rPr>
      <w:t>**ª PROMOTORIA DE JUSTIÇA DA COMARCA DE ********</w:t>
    </w:r>
  </w:p>
  <w:p>
    <w:pPr>
      <w:pStyle w:val="Textbody"/>
      <w:spacing w:lineRule="auto" w:line="240" w:before="0" w:after="57"/>
      <w:jc w:val="center"/>
      <w:rPr>
        <w:sz w:val="8"/>
        <w:szCs w:val="8"/>
      </w:rPr>
    </w:pPr>
    <w:r>
      <w:rPr>
        <w:sz w:val="8"/>
        <w:szCs w:val="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220"/>
  <w:displayBackgroundShape/>
  <w:embedSystemFonts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3"/>
    <w:next w:val="BodyText"/>
    <w:qFormat/>
    <w:pPr>
      <w:numPr>
        <w:ilvl w:val="0"/>
        <w:numId w:val="2"/>
      </w:numPr>
      <w:outlineLvl w:val="0"/>
    </w:pPr>
    <w:rPr/>
  </w:style>
  <w:style w:type="paragraph" w:styleId="Heading2">
    <w:name w:val="heading 2"/>
    <w:basedOn w:val="Ttulo3"/>
    <w:next w:val="BodyText"/>
    <w:qFormat/>
    <w:pPr>
      <w:numPr>
        <w:ilvl w:val="1"/>
        <w:numId w:val="2"/>
      </w:numPr>
      <w:spacing w:before="200" w:after="120"/>
      <w:outlineLvl w:val="1"/>
    </w:pPr>
    <w:rPr>
      <w:sz w:val="32"/>
      <w:szCs w:val="32"/>
    </w:rPr>
  </w:style>
  <w:style w:type="paragraph" w:styleId="Heading3">
    <w:name w:val="heading 3"/>
    <w:basedOn w:val="Ttulo3"/>
    <w:next w:val="BodyText"/>
    <w:qFormat/>
    <w:pPr>
      <w:numPr>
        <w:ilvl w:val="2"/>
        <w:numId w:val="2"/>
      </w:numPr>
      <w:spacing w:before="140" w:after="120"/>
      <w:outlineLvl w:val="2"/>
    </w:pPr>
    <w:rPr>
      <w:color w:val="808080"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paragraph" w:styleId="Heading7">
    <w:name w:val="heading 7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6"/>
    </w:pPr>
    <w:rPr>
      <w:rFonts w:ascii="Garamond" w:hAnsi="Garamond" w:eastAsia="Garamond" w:cs="Garamond"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3" w:customStyle="1">
    <w:name w:val="WW8Num2z3"/>
    <w:qFormat/>
    <w:rPr>
      <w:rFonts w:cs="Calibri"/>
    </w:rPr>
  </w:style>
  <w:style w:type="character" w:styleId="WW8Num3z0" w:customStyle="1">
    <w:name w:val="WW8Num3z0"/>
    <w:qFormat/>
    <w:rPr>
      <w:rFonts w:cs="Times New Roman"/>
    </w:rPr>
  </w:style>
  <w:style w:type="character" w:styleId="WW8Num3z3" w:customStyle="1">
    <w:name w:val="WW8Num3z3"/>
    <w:qFormat/>
    <w:rPr>
      <w:rFonts w:cs="Calibri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Fontepargpadro9" w:customStyle="1">
    <w:name w:val="Fonte parág. padrão9"/>
    <w:qFormat/>
    <w:rPr/>
  </w:style>
  <w:style w:type="character" w:styleId="Fontepargpadro8" w:customStyle="1">
    <w:name w:val="Fonte parág. padrão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>
      <w:rFonts w:cs="Calibri"/>
    </w:rPr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Fontepargpadro7" w:customStyle="1">
    <w:name w:val="Fonte parág. padrão7"/>
    <w:qFormat/>
    <w:rPr/>
  </w:style>
  <w:style w:type="character" w:styleId="Fontepargpadro6" w:customStyle="1">
    <w:name w:val="Fonte parág. padrão6"/>
    <w:qFormat/>
    <w:rPr/>
  </w:style>
  <w:style w:type="character" w:styleId="Fontepargpadro5" w:customStyle="1">
    <w:name w:val="Fonte parág. padrão5"/>
    <w:qFormat/>
    <w:rPr/>
  </w:style>
  <w:style w:type="character" w:styleId="Fontepargpadro4" w:customStyle="1">
    <w:name w:val="Fonte parág. padrão4"/>
    <w:qFormat/>
    <w:rPr/>
  </w:style>
  <w:style w:type="character" w:styleId="WW8Num6z0" w:customStyle="1">
    <w:name w:val="WW8Num6z0"/>
    <w:qFormat/>
    <w:rPr>
      <w:rFonts w:ascii="Times New Roman" w:hAnsi="Times New Roman" w:eastAsia="Arial" w:cs="Times New Roman"/>
      <w:color w:val="000000"/>
      <w:shd w:fill="FFFF00" w:val="clear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Liberation Serif" w:hAnsi="Liberation Serif" w:eastAsia="SimSun" w:cs="Mangal"/>
    </w:rPr>
  </w:style>
  <w:style w:type="character" w:styleId="Fontepargpadro3" w:customStyle="1">
    <w:name w:val="Fonte parág. padrão3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eastAsia="SimSun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Fontepargpadro2" w:customStyle="1">
    <w:name w:val="Fonte parág. padrão2"/>
    <w:qFormat/>
    <w:rPr/>
  </w:style>
  <w:style w:type="character" w:styleId="Fontepargpadro1" w:customStyle="1">
    <w:name w:val="Fonte parág. padrão1"/>
    <w:qFormat/>
    <w:rPr/>
  </w:style>
  <w:style w:type="character" w:styleId="WW-DefaultParagraphFont" w:customStyle="1">
    <w:name w:val="WW-Default Paragraph Font"/>
    <w:qFormat/>
    <w:rPr/>
  </w:style>
  <w:style w:type="character" w:styleId="DefaultParagraphFont1" w:customStyle="1">
    <w:name w:val="Default Paragraph Font1"/>
    <w:qFormat/>
    <w:rPr/>
  </w:style>
  <w:style w:type="character" w:styleId="CabealhoChar" w:customStyle="1">
    <w:name w:val="Cabeçalho Char"/>
    <w:qFormat/>
    <w:rPr>
      <w:szCs w:val="21"/>
    </w:rPr>
  </w:style>
  <w:style w:type="character" w:styleId="RodapChar" w:customStyle="1">
    <w:name w:val="Rodapé Char"/>
    <w:qFormat/>
    <w:rPr>
      <w:szCs w:val="21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Refdenotaderodap1" w:customStyle="1">
    <w:name w:val="Ref. de nota de rodapé1"/>
    <w:qFormat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WW-Caracteresdenotadefim" w:customStyle="1">
    <w:name w:val="WW-Caracteres de nota de fim"/>
    <w:qFormat/>
    <w:rPr/>
  </w:style>
  <w:style w:type="character" w:styleId="Refdenotadefim1" w:customStyle="1">
    <w:name w:val="Ref. de nota de fim1"/>
    <w:qFormat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styleId="Strong">
    <w:name w:val="Strong"/>
    <w:qFormat/>
    <w:rPr>
      <w:b/>
      <w:bCs/>
    </w:rPr>
  </w:style>
  <w:style w:type="character" w:styleId="halyaf" w:customStyle="1">
    <w:name w:val="halyaf"/>
    <w:qFormat/>
    <w:rPr/>
  </w:style>
  <w:style w:type="character" w:styleId="fontstyle01" w:customStyle="1">
    <w:name w:val="fontstyle01"/>
    <w:qFormat/>
    <w:rPr>
      <w:rFonts w:ascii="Graphik-MediumItalic" w:hAnsi="Graphik-MediumItalic" w:cs="Graphik-MediumItalic"/>
      <w:b w:val="false"/>
      <w:bCs w:val="false"/>
      <w:i/>
      <w:iCs/>
      <w:color w:val="000000"/>
      <w:sz w:val="20"/>
      <w:szCs w:val="20"/>
    </w:rPr>
  </w:style>
  <w:style w:type="character" w:styleId="Ttulo5Char" w:customStyle="1">
    <w:name w:val="Título 5 Char"/>
    <w:qFormat/>
    <w:rPr>
      <w:rFonts w:ascii="Calibri" w:hAnsi="Calibri" w:eastAsia="Times New Roman" w:cs="Mangal"/>
      <w:b/>
      <w:bCs/>
      <w:i/>
      <w:iCs/>
      <w:kern w:val="2"/>
      <w:sz w:val="26"/>
      <w:szCs w:val="23"/>
      <w:lang w:eastAsia="zh-CN" w:bidi="hi-IN"/>
    </w:rPr>
  </w:style>
  <w:style w:type="character" w:styleId="WW-nfaseforte" w:customStyle="1">
    <w:name w:val="WW-Ênfase forte"/>
    <w:qFormat/>
    <w:rPr>
      <w:b/>
      <w:bCs/>
    </w:rPr>
  </w:style>
  <w:style w:type="character" w:styleId="Refdenotaderodap2" w:customStyle="1">
    <w:name w:val="Ref. de nota de rodapé2"/>
    <w:qFormat/>
    <w:rPr>
      <w:vertAlign w:val="superscript"/>
    </w:rPr>
  </w:style>
  <w:style w:type="character" w:styleId="WW-LinkdaInternet" w:customStyle="1">
    <w:name w:val="WW-Link da Internet"/>
    <w:qFormat/>
    <w:rPr>
      <w:color w:val="000080"/>
      <w:u w:val="single"/>
    </w:rPr>
  </w:style>
  <w:style w:type="character" w:styleId="Refdenotadefim2" w:customStyle="1">
    <w:name w:val="Ref. de nota de fim2"/>
    <w:qFormat/>
    <w:rPr>
      <w:vertAlign w:val="superscript"/>
    </w:rPr>
  </w:style>
  <w:style w:type="character" w:styleId="WW-nfaseforte1" w:customStyle="1">
    <w:name w:val="WW-Ênfase forte1"/>
    <w:qFormat/>
    <w:rPr>
      <w:b/>
      <w:bCs/>
    </w:rPr>
  </w:style>
  <w:style w:type="character" w:styleId="Refdenotaderodap3" w:customStyle="1">
    <w:name w:val="Ref. de nota de rodapé3"/>
    <w:qFormat/>
    <w:rPr>
      <w:vertAlign w:val="superscript"/>
    </w:rPr>
  </w:style>
  <w:style w:type="character" w:styleId="WW-LinkdaInternet1" w:customStyle="1">
    <w:name w:val="WW-Link da Internet1"/>
    <w:qFormat/>
    <w:rPr>
      <w:color w:val="000080"/>
      <w:u w:val="single"/>
    </w:rPr>
  </w:style>
  <w:style w:type="character" w:styleId="Refdenotadefim3" w:customStyle="1">
    <w:name w:val="Ref. de nota de fim3"/>
    <w:qFormat/>
    <w:rPr>
      <w:vertAlign w:val="superscript"/>
    </w:rPr>
  </w:style>
  <w:style w:type="character" w:styleId="Forte1" w:customStyle="1">
    <w:name w:val="Forte1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Refdenotaderodap4" w:customStyle="1">
    <w:name w:val="Ref. de nota de rodapé4"/>
    <w:qFormat/>
    <w:rPr>
      <w:vertAlign w:val="superscript"/>
    </w:rPr>
  </w:style>
  <w:style w:type="character" w:styleId="Caracteresdenotaderodapuser">
    <w:name w:val="Caracteres de nota de rodapé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cteresdenotadefimuser">
    <w:name w:val="Caracteres de nota de fim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otnotereference1">
    <w:name w:val="footnote reference1"/>
    <w:qFormat/>
    <w:rPr>
      <w:vertAlign w:val="superscript"/>
    </w:rPr>
  </w:style>
  <w:style w:type="character" w:styleId="endnotereference1">
    <w:name w:val="endnote reference1"/>
    <w:qFormat/>
    <w:rPr>
      <w:vertAlign w:val="superscript"/>
    </w:rPr>
  </w:style>
  <w:style w:type="character" w:styleId="endnotereference11">
    <w:name w:val="endnote reference11"/>
    <w:qFormat/>
    <w:rPr>
      <w:vertAlign w:val="superscript"/>
    </w:rPr>
  </w:style>
  <w:style w:type="character" w:styleId="footnotereference11">
    <w:name w:val="footnote reference11"/>
    <w:qFormat/>
    <w:rPr>
      <w:vertAlign w:val="superscript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user" w:customStyle="1">
    <w:name w:val="Título (user)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diceuser" w:customStyle="1">
    <w:name w:val="Índice (user)"/>
    <w:basedOn w:val="Standard"/>
    <w:qFormat/>
    <w:pPr>
      <w:suppressLineNumbers/>
    </w:pPr>
    <w:rPr/>
  </w:style>
  <w:style w:type="paragraph" w:styleId="Ttulo11" w:customStyle="1">
    <w:name w:val="Título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t-BR" w:eastAsia="zh-CN" w:bidi="hi-IN"/>
    </w:rPr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tulo3" w:customStyle="1">
    <w:name w:val="Título3"/>
    <w:basedOn w:val="Ttulo1"/>
    <w:next w:val="Textbody"/>
    <w:qFormat/>
    <w:pPr>
      <w:jc w:val="center"/>
    </w:pPr>
    <w:rPr>
      <w:rFonts w:cs="Mangal"/>
      <w:b/>
      <w:bCs/>
      <w:sz w:val="36"/>
      <w:szCs w:val="36"/>
    </w:rPr>
  </w:style>
  <w:style w:type="paragraph" w:styleId="Textbody" w:customStyle="1">
    <w:name w:val="Text body"/>
    <w:basedOn w:val="Standard"/>
    <w:qFormat/>
    <w:pPr>
      <w:spacing w:before="0" w:after="57"/>
    </w:pPr>
    <w:rPr/>
  </w:style>
  <w:style w:type="paragraph" w:styleId="Ttulo10" w:customStyle="1">
    <w:name w:val="Título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8" w:customStyle="1">
    <w:name w:val="Título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7" w:customStyle="1">
    <w:name w:val="Título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 w:customStyle="1">
    <w:name w:val="Título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5" w:customStyle="1">
    <w:name w:val="Título5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tulo4" w:customStyle="1">
    <w:name w:val="Título4"/>
    <w:basedOn w:val="Ttulo3"/>
    <w:next w:val="BodyText"/>
    <w:qFormat/>
    <w:pPr/>
    <w:rPr>
      <w:sz w:val="56"/>
      <w:szCs w:val="56"/>
    </w:rPr>
  </w:style>
  <w:style w:type="paragraph" w:styleId="Subtitle">
    <w:name w:val="Subtitle"/>
    <w:basedOn w:val="Ttulo1"/>
    <w:next w:val="Textbody"/>
    <w:qFormat/>
    <w:pPr>
      <w:jc w:val="center"/>
    </w:pPr>
    <w:rPr>
      <w:i/>
      <w:iCs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Ttulo111" w:customStyle="1">
    <w:name w:val="Título 11"/>
    <w:basedOn w:val="Ttulo1"/>
    <w:next w:val="Textbody"/>
    <w:qFormat/>
    <w:pPr/>
    <w:rPr>
      <w:b/>
      <w:bCs/>
    </w:rPr>
  </w:style>
  <w:style w:type="paragraph" w:styleId="Ttulo21" w:customStyle="1">
    <w:name w:val="Título 21"/>
    <w:basedOn w:val="Ttulo1"/>
    <w:next w:val="Textbody"/>
    <w:qFormat/>
    <w:pPr/>
    <w:rPr>
      <w:b/>
      <w:bCs/>
      <w:i/>
      <w:iCs/>
    </w:rPr>
  </w:style>
  <w:style w:type="paragraph" w:styleId="Ttulo31" w:customStyle="1">
    <w:name w:val="Título 31"/>
    <w:basedOn w:val="Ttulo1"/>
    <w:next w:val="Textbody"/>
    <w:qFormat/>
    <w:pPr>
      <w:numPr>
        <w:ilvl w:val="0"/>
        <w:numId w:val="3"/>
      </w:numPr>
    </w:pPr>
    <w:rPr>
      <w:b/>
      <w:bCs/>
    </w:rPr>
  </w:style>
  <w:style w:type="paragraph" w:styleId="Caption1" w:customStyle="1">
    <w:name w:val="Caption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t-BR" w:eastAsia="zh-CN" w:bidi="hi-IN"/>
    </w:rPr>
  </w:style>
  <w:style w:type="paragraph" w:styleId="WW-Caption" w:customStyle="1">
    <w:name w:val="WW-Caption"/>
    <w:basedOn w:val="Standard"/>
    <w:qFormat/>
    <w:pPr>
      <w:suppressLineNumbers/>
      <w:spacing w:before="120" w:after="120"/>
    </w:pPr>
    <w:rPr>
      <w:i/>
      <w:iCs/>
    </w:rPr>
  </w:style>
  <w:style w:type="paragraph" w:styleId="Cabealho1" w:customStyle="1">
    <w:name w:val="Cabeçalho1"/>
    <w:basedOn w:val="Standard"/>
    <w:qFormat/>
    <w:pPr>
      <w:suppressLineNumbers/>
    </w:pPr>
    <w:rPr/>
  </w:style>
  <w:style w:type="paragraph" w:styleId="Rodap1" w:customStyle="1">
    <w:name w:val="Rodapé1"/>
    <w:basedOn w:val="Standard"/>
    <w:qFormat/>
    <w:pPr>
      <w:suppressLineNumbers/>
    </w:pPr>
    <w:rPr/>
  </w:style>
  <w:style w:type="paragraph" w:styleId="Blocodecitaouser" w:customStyle="1">
    <w:name w:val="Bloco de citação (user)"/>
    <w:basedOn w:val="Standard"/>
    <w:qFormat/>
    <w:pPr>
      <w:spacing w:before="0" w:after="283"/>
      <w:ind w:left="567" w:right="567"/>
    </w:pPr>
    <w:rPr/>
  </w:style>
  <w:style w:type="paragraph" w:styleId="Ttulo2" w:customStyle="1">
    <w:name w:val="Título2"/>
    <w:basedOn w:val="Ttulo1"/>
    <w:next w:val="Textbody"/>
    <w:qFormat/>
    <w:pPr>
      <w:jc w:val="center"/>
    </w:pPr>
    <w:rPr>
      <w:b/>
      <w:bCs/>
      <w:sz w:val="36"/>
      <w:szCs w:val="36"/>
    </w:rPr>
  </w:style>
  <w:style w:type="paragraph" w:styleId="Contedodatabelauser" w:customStyle="1">
    <w:name w:val="Conteúdo da tabela (user)"/>
    <w:basedOn w:val="Standard"/>
    <w:qFormat/>
    <w:pPr>
      <w:suppressLineNumbers/>
    </w:pPr>
    <w:rPr/>
  </w:style>
  <w:style w:type="paragraph" w:styleId="Ttulodetabelauser" w:customStyle="1">
    <w:name w:val="Título de tabela (user)"/>
    <w:basedOn w:val="Contedodatabelauser"/>
    <w:qFormat/>
    <w:pPr>
      <w:jc w:val="center"/>
    </w:pPr>
    <w:rPr>
      <w:b/>
      <w:bCs/>
    </w:rPr>
  </w:style>
  <w:style w:type="paragraph" w:styleId="western" w:customStyle="1">
    <w:name w:val="western"/>
    <w:basedOn w:val="Standard"/>
    <w:qFormat/>
    <w:pPr>
      <w:spacing w:before="280" w:after="119"/>
    </w:pPr>
    <w:rPr/>
  </w:style>
  <w:style w:type="paragraph" w:styleId="NormalWeb">
    <w:name w:val="Normal (Web)"/>
    <w:basedOn w:val="Standard"/>
    <w:qFormat/>
    <w:pPr>
      <w:spacing w:before="280" w:after="119"/>
    </w:pPr>
    <w:rPr/>
  </w:style>
  <w:style w:type="paragraph" w:styleId="Textbodyindent" w:customStyle="1">
    <w:name w:val="Text body indent"/>
    <w:basedOn w:val="Standard"/>
    <w:qFormat/>
    <w:pPr>
      <w:jc w:val="both"/>
    </w:pPr>
    <w:rPr>
      <w:rFonts w:ascii="Courier New" w:hAnsi="Courier New" w:cs="Courier New"/>
      <w:sz w:val="28"/>
      <w:szCs w:val="20"/>
    </w:rPr>
  </w:style>
  <w:style w:type="paragraph" w:styleId="Contedodalistauser" w:customStyle="1">
    <w:name w:val="Conteúdo da lista (user)"/>
    <w:basedOn w:val="Standard"/>
    <w:qFormat/>
    <w:pPr>
      <w:ind w:left="567"/>
    </w:pPr>
    <w:rPr/>
  </w:style>
  <w:style w:type="paragraph" w:styleId="Standard1" w:customStyle="1">
    <w:name w:val="Standard1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pPr>
      <w:suppressLineNumbers/>
    </w:pPr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Cabealhoerodap8">
    <w:name w:val="Cabeçalho e rodapé8"/>
    <w:basedOn w:val="Normal"/>
    <w:qFormat/>
    <w:pPr/>
    <w:rPr/>
  </w:style>
  <w:style w:type="paragraph" w:styleId="Cabealhoerodap9">
    <w:name w:val="Cabeçalho e rodapé9"/>
    <w:basedOn w:val="Normal"/>
    <w:qFormat/>
    <w:pPr/>
    <w:rPr/>
  </w:style>
  <w:style w:type="paragraph" w:styleId="Cabealhoerodap10">
    <w:name w:val="Cabeçalho e rodapé10"/>
    <w:basedOn w:val="Normal"/>
    <w:qFormat/>
    <w:pPr/>
    <w:rPr/>
  </w:style>
  <w:style w:type="paragraph" w:styleId="Header">
    <w:name w:val="header"/>
    <w:basedOn w:val="Normal"/>
    <w:pPr/>
    <w:rPr>
      <w:szCs w:val="21"/>
    </w:rPr>
  </w:style>
  <w:style w:type="paragraph" w:styleId="Footer">
    <w:name w:val="footer"/>
    <w:basedOn w:val="Normal"/>
    <w:pPr/>
    <w:rPr>
      <w:szCs w:val="21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itaes" w:customStyle="1">
    <w:name w:val="Citações"/>
    <w:basedOn w:val="Normal"/>
    <w:qFormat/>
    <w:pPr>
      <w:spacing w:before="0" w:after="283"/>
      <w:ind w:left="567" w:right="567"/>
    </w:pPr>
    <w:rPr/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08"/>
    </w:pPr>
    <w:rPr>
      <w:szCs w:val="21"/>
    </w:rPr>
  </w:style>
  <w:style w:type="paragraph" w:styleId="LO-normal1" w:customStyle="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LO-Normal11">
    <w:name w:val="LO-Normal1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Wingdings"/>
      <w:color w:val="000000"/>
      <w:kern w:val="0"/>
      <w:sz w:val="24"/>
      <w:szCs w:val="24"/>
      <w:lang w:val="pt-BR" w:eastAsia="zh-CN" w:bidi="hi-IN"/>
    </w:rPr>
  </w:style>
  <w:style w:type="paragraph" w:styleId="Contedodalista">
    <w:name w:val="Conteúdo da lista"/>
    <w:basedOn w:val="Standard"/>
    <w:qFormat/>
    <w:pPr>
      <w:ind w:left="567"/>
    </w:pPr>
    <w:rPr/>
  </w:style>
  <w:style w:type="paragraph" w:styleId="Blocodecitao">
    <w:name w:val="Bloco de citação"/>
    <w:basedOn w:val="Standard"/>
    <w:qFormat/>
    <w:pPr>
      <w:spacing w:before="0" w:after="283"/>
      <w:ind w:left="567" w:right="567"/>
    </w:pPr>
    <w:rPr/>
  </w:style>
  <w:style w:type="paragraph" w:styleId="Textbody1">
    <w:name w:val="Text body1"/>
    <w:basedOn w:val="Standard3"/>
    <w:qFormat/>
    <w:pPr>
      <w:spacing w:before="0" w:after="57"/>
    </w:pPr>
    <w:rPr/>
  </w:style>
  <w:style w:type="paragraph" w:styleId="Caption13">
    <w:name w:val="Caption13"/>
    <w:basedOn w:val="Standard3"/>
    <w:qFormat/>
    <w:pPr>
      <w:suppressLineNumbers/>
      <w:spacing w:before="120" w:after="120"/>
    </w:pPr>
    <w:rPr>
      <w:rFonts w:cs="Mangal"/>
      <w:i/>
      <w:iCs/>
    </w:rPr>
  </w:style>
  <w:style w:type="paragraph" w:styleId="LO-Normal3">
    <w:name w:val="LO-Normal3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t-BR" w:eastAsia="zh-CN" w:bidi="hi-IN"/>
    </w:rPr>
  </w:style>
  <w:style w:type="paragraph" w:styleId="Textbodyindent1">
    <w:name w:val="Text body indent1"/>
    <w:basedOn w:val="Standard3"/>
    <w:qFormat/>
    <w:pPr>
      <w:jc w:val="both"/>
    </w:pPr>
    <w:rPr>
      <w:rFonts w:ascii="Courier New" w:hAnsi="Courier New" w:cs="Courier New"/>
      <w:sz w:val="28"/>
      <w:szCs w:val="20"/>
    </w:rPr>
  </w:style>
  <w:style w:type="paragraph" w:styleId="Standard3">
    <w:name w:val="Standard3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t-BR" w:eastAsia="zh-CN" w:bidi="hi-IN"/>
    </w:rPr>
  </w:style>
  <w:style w:type="paragraph" w:styleId="LO-normal13">
    <w:name w:val="LO-normal13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LO-Normal112">
    <w:name w:val="LO-Normal112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Wingdings"/>
      <w:color w:val="000000"/>
      <w:kern w:val="0"/>
      <w:sz w:val="24"/>
      <w:szCs w:val="24"/>
      <w:lang w:val="pt-BR" w:eastAsia="zh-CN" w:bidi="hi-IN"/>
    </w:rPr>
  </w:style>
  <w:style w:type="paragraph" w:styleId="Recuodecorpodetexto21">
    <w:name w:val="Recuo de corpo de texto 21"/>
    <w:basedOn w:val="Normal"/>
    <w:qFormat/>
    <w:pPr>
      <w:ind w:firstLine="2835" w:left="0" w:right="0"/>
      <w:jc w:val="both"/>
    </w:pPr>
    <w:rPr>
      <w:rFonts w:ascii="Garamond" w:hAnsi="Garamond" w:eastAsia="Garamond" w:cs="Garamond"/>
      <w:sz w:val="32"/>
    </w:rPr>
  </w:style>
  <w:style w:type="paragraph" w:styleId="LO-Normal111">
    <w:name w:val="LO-Normal11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Wingdings"/>
      <w:color w:val="000000"/>
      <w:kern w:val="0"/>
      <w:sz w:val="24"/>
      <w:szCs w:val="24"/>
      <w:lang w:val="pt-BR" w:eastAsia="zh-CN" w:bidi="hi-IN"/>
    </w:rPr>
  </w:style>
  <w:style w:type="paragraph" w:styleId="LO-normal12">
    <w:name w:val="LO-normal12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extbodyindent2">
    <w:name w:val="Text body indent2"/>
    <w:basedOn w:val="Standard2"/>
    <w:qFormat/>
    <w:pPr>
      <w:jc w:val="both"/>
    </w:pPr>
    <w:rPr>
      <w:rFonts w:ascii="Courier New" w:hAnsi="Courier New" w:cs="Courier New"/>
      <w:sz w:val="28"/>
      <w:szCs w:val="20"/>
    </w:rPr>
  </w:style>
  <w:style w:type="paragraph" w:styleId="LO-Normal2">
    <w:name w:val="LO-Normal2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t-BR" w:eastAsia="zh-CN" w:bidi="hi-IN"/>
    </w:rPr>
  </w:style>
  <w:style w:type="paragraph" w:styleId="Caption12">
    <w:name w:val="Caption12"/>
    <w:basedOn w:val="Standard2"/>
    <w:qFormat/>
    <w:pPr>
      <w:suppressLineNumbers/>
      <w:spacing w:before="120" w:after="120"/>
    </w:pPr>
    <w:rPr>
      <w:rFonts w:cs="Mangal"/>
      <w:i/>
      <w:iCs/>
    </w:rPr>
  </w:style>
  <w:style w:type="paragraph" w:styleId="Textbody2">
    <w:name w:val="Text body2"/>
    <w:basedOn w:val="Standard2"/>
    <w:qFormat/>
    <w:pPr>
      <w:spacing w:before="0" w:after="57"/>
    </w:pPr>
    <w:rPr/>
  </w:style>
  <w:style w:type="paragraph" w:styleId="Standard2">
    <w:name w:val="Standard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Standard4">
    <w:name w:val="Standard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LO-normal113">
    <w:name w:val="LO-normal113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LO-Normal0">
    <w:name w:val="LO-Normal0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Recuodecorpodetexto2">
    <w:name w:val="Recuo de corpo de texto 2"/>
    <w:basedOn w:val="Normal"/>
    <w:qFormat/>
    <w:pPr>
      <w:suppressAutoHyphens w:val="true"/>
      <w:ind w:firstLine="2835" w:left="0" w:right="0"/>
      <w:jc w:val="both"/>
    </w:pPr>
    <w:rPr>
      <w:rFonts w:ascii="Garamond" w:hAnsi="Garamond" w:eastAsia="Garamond" w:cs="Garamond"/>
      <w:sz w:val="32"/>
    </w:rPr>
  </w:style>
  <w:style w:type="paragraph" w:styleId="LO-Normal14">
    <w:name w:val="LO-Normal14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Wingdings"/>
      <w:color w:val="000000"/>
      <w:kern w:val="0"/>
      <w:sz w:val="24"/>
      <w:szCs w:val="24"/>
      <w:lang w:val="pt-BR" w:eastAsia="zh-CN" w:bidi="hi-IN"/>
    </w:rPr>
  </w:style>
  <w:style w:type="paragraph" w:styleId="LO-normal4">
    <w:name w:val="LO-normal4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4">
    <w:name w:val="caption14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modelo_padrao.ott</Template>
  <TotalTime>357</TotalTime>
  <Application>LibreOffice/25.2.4.3$Windows_X86_64 LibreOffice_project/33e196637044ead23f5c3226cde09b47731f7e27</Application>
  <AppVersion>15.0000</AppVersion>
  <Pages>5</Pages>
  <Words>1220</Words>
  <Characters>6755</Characters>
  <CharactersWithSpaces>7950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2024-07-30T12:39:00Z</dcterms:created>
  <dc:creator>adriana</dc:creator>
  <dc:description/>
  <dc:language>pt-BR</dc:language>
  <cp:lastModifiedBy/>
  <cp:lastPrinted>1995-11-22T01:41:00Z</cp:lastPrinted>
  <dcterms:modified xsi:type="dcterms:W3CDTF">2025-07-25T09:35:24Z</dcterms:modified>
  <cp:revision>37</cp:revision>
  <dc:subject/>
  <dc:title>modelo_padrao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75600.0000000000</vt:lpwstr>
  </property>
  <property fmtid="{D5CDD505-2E9C-101B-9397-08002B2CF9AE}" pid="3" name="display_urn:schemas-microsoft-com:office:office#Author">
    <vt:lpwstr>Glauter Costa dos Santos</vt:lpwstr>
  </property>
  <property fmtid="{D5CDD505-2E9C-101B-9397-08002B2CF9AE}" pid="4" name="display_urn:schemas-microsoft-com:office:office#Editor">
    <vt:lpwstr>Glauter Costa dos Santos</vt:lpwstr>
  </property>
</Properties>
</file>