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t-BR"/>
        </w:rPr>
        <w:t>Procedimento Administrativo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t-BR"/>
        </w:rPr>
        <w:t xml:space="preserve"> nº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t-BR"/>
        </w:rPr>
        <w:t>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RECOMENDAÇÃO MINISTERIAL 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</w:r>
    </w:p>
    <w:p>
      <w:pPr>
        <w:pStyle w:val="Normal"/>
        <w:ind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MINISTÉRIO PÚBLICO DO ESTADO DO CEARÁ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, por meio da Promotoria de Justiça de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shd w:fill="FFFF00" w:val="clear"/>
          <w:lang w:val="pt-BR"/>
        </w:rPr>
        <w:t>*********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no uso de suas atribuições constitucionais e legais, vem, por intermédio desta, e nos termos adiante vistos:</w:t>
      </w:r>
    </w:p>
    <w:p>
      <w:pPr>
        <w:pStyle w:val="Normal"/>
        <w:ind w:firstLine="117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que o Ministério Público é instituição permanente, essencial à função jurisdicional do Estado, incumbindo-lhe a defesa da ordem jurídica, do regime democrático e dos interesses sociais e individuais indisponíveis (CF/88, art. 127);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que ao Ministério Público cabe exercer a defesa dos direitos assegurados na Constituição Federal sempre que for necessária a garantia do seu respeito pelos poderes municipais, nos termos do artigo 27, inciso I da Lei nº 8.625/93;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que compete ao Ministério Público “</w:t>
      </w:r>
      <w:r>
        <w:rPr>
          <w:rFonts w:eastAsia="Times New Roman" w:cs="Times New Roman" w:ascii="Times New Roman" w:hAnsi="Times New Roman"/>
          <w:i/>
          <w:color w:val="000000"/>
          <w:position w:val="0"/>
          <w:sz w:val="24"/>
          <w:sz w:val="24"/>
          <w:szCs w:val="24"/>
          <w:vertAlign w:val="baseline"/>
        </w:rPr>
        <w:t>expedir recomendações, visando à melhoria dos serviços públicos e de relevância pública, bem como ao respeito, aos interesses, direitos e bens cuja defesa lhe cabe promover, fixando prazo razoável para a adoção das providências cabíveis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” (art. 129, inciso III, da Constituição Federal, art. 6º, incisos VII, alínea “c”, e XX, da Lei Complementar nº 75/93, art. 27, Parágrafo Único, inciso IV da Lei nº 8.625/1993);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CONSIDERANDO </w:t>
      </w:r>
      <w:r>
        <w:rPr>
          <w:rFonts w:eastAsia="Times New Roman" w:cs="Times New Roman" w:ascii="Times New Roman" w:hAnsi="Times New Roman"/>
          <w:sz w:val="24"/>
          <w:szCs w:val="24"/>
        </w:rPr>
        <w:t>que a educação é direito fundamental do ser humano, inserida no rol de direitos sociais, consoante firmado no artigo 6ª da Constituição Federal de 1988;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CONSIDERANDO </w:t>
      </w:r>
      <w:r>
        <w:rPr>
          <w:rFonts w:eastAsia="Times New Roman" w:cs="Times New Roman" w:ascii="Times New Roman" w:hAnsi="Times New Roman"/>
          <w:sz w:val="24"/>
          <w:szCs w:val="24"/>
        </w:rPr>
        <w:t>que o artigo 205 da Carta Magna dispõe que a “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educação, direito de todos e dever do Estado e da família, será promovida e incentivada com a colaboração da sociedade, visando ao pleno desenvolvimento da pessoa, seu preparo para o exercício da cidadania e sua qualificação para o trabalho”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que o artigo 206 e seus incisos, também da Constituição Federal, determinam que o ensino público deverá ser ministrado com base nos princípios da igualdade de condições para o acesso e permanência na escola, gestão democrática,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garantia de padrão de qualidade</w:t>
      </w:r>
      <w:r>
        <w:rPr>
          <w:rFonts w:eastAsia="Times New Roman" w:cs="Times New Roman" w:ascii="Times New Roman" w:hAnsi="Times New Roman"/>
          <w:sz w:val="24"/>
          <w:szCs w:val="24"/>
        </w:rPr>
        <w:t>, entre outros;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que a Constituição Federal, no art. 208, leciona que o dever do Estado com a educação será efetivado, mediante a garantia 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educação básica obrigatória e gratuita dos 4 (quatro) aos 17 (dezessete) anos de idade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assegurada inclusive sua oferta gratuita para todos os que a ela não tiveram acesso na idade própria; e educação infantil, em creche e pré-escola, às crianças até 5 (cinco) anos de idade, entre outros;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que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 obrigatoriedade da pré-escola ocorreu a partir da Emenda Constitucional nº 59, de 11 de novembro de 2009, que impôs ao poder público a sua universalização até 2016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 (art. 6º da EC 59);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que a Carta Magna, no art. 227, e o Estatuto da Criança e do Adolescente, em seu art. 4º, garantem a todas as crianças e adolescentes, com </w:t>
      </w: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4"/>
          <w:sz w:val="24"/>
          <w:szCs w:val="24"/>
          <w:vertAlign w:val="baseline"/>
        </w:rPr>
        <w:t>absoluta prioridade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, direitos fundamentais, assegurando-lhes primazia em receber proteção e socorro, precedência no atendimento nos serviços públicos, 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preferência na formulação de políticas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e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 destinação privilegiada de recursos para sua proteção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CONSIDERANDO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que o Estatuto da Criança e do adolescente (ECA), Lei nº 8.069, de 13 de julho de 1990, também tratou de disciplinar que é dever do Estado assegurar à criança e ao adolescente atendimento em pré-escola às crianças de zero a cinco anos de idade, consoante se extrai do art. 54, inciso IV;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que </w:t>
      </w: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>a educação constitui direito essencial da pessoa com deficiência, assegurados sistema educacional inclusivo em todos os níveis e aprendizado ao longo de toda a vida, de forma a alcançar o máximo desenvolvimento possível de seus talentos e habilidades físicas, sensoriais, intelectuais e sociais, segundo suas características, interesses e necessidades de aprendizagem,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sendo dever do Estado, da família, da comunidade escolar e da sociedade assegurar educação de qualidade à pessoa com deficiência, colocando-a a salvo de toda forma de violência, negligência e discriminação, nos termos do artigo 27 do Estatuto da Pessoa com Deficiência (Lei nº 13.146/2015);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que </w:t>
      </w: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 xml:space="preserve">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position w:val="0"/>
          <w:sz w:val="24"/>
          <w:sz w:val="24"/>
          <w:szCs w:val="24"/>
          <w:vertAlign w:val="baseline"/>
        </w:rPr>
        <w:t>União, os Estados, o Distrito Federal e os Municípios organizarão seus sistemas de ensino em regime de colaboração, de forma a assegurar a universalização, a qualidade e a equidade do ensino obrigatório, sem olvidar, todavia,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que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position w:val="0"/>
          <w:sz w:val="24"/>
          <w:sz w:val="24"/>
          <w:szCs w:val="24"/>
          <w:vertAlign w:val="baseline"/>
        </w:rPr>
        <w:t>os Municípios atuarão prioritariamente no ensino fundamental e na educação infantil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(art. 211, caput, §§2º e 4º, da CF);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que a Carta Magna tratou de determinar que “</w:t>
      </w:r>
      <w:r>
        <w:rPr>
          <w:rFonts w:eastAsia="Times New Roman"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 xml:space="preserve">compete aos Municípios: VI - </w:t>
      </w:r>
      <w:r>
        <w:rPr>
          <w:rFonts w:eastAsia="Times New Roman" w:cs="Times New Roman" w:ascii="Times New Roman" w:hAnsi="Times New Roman"/>
          <w:b w:val="false"/>
          <w:i/>
          <w:position w:val="0"/>
          <w:sz w:val="24"/>
          <w:sz w:val="24"/>
          <w:szCs w:val="24"/>
          <w:vertAlign w:val="baseline"/>
        </w:rPr>
        <w:t xml:space="preserve">Manter, com a cooperação técnica e financeira da União e do Estado, programas de educação </w:t>
      </w:r>
      <w:r>
        <w:rPr>
          <w:rFonts w:eastAsia="Times New Roman" w:cs="Times New Roman" w:ascii="Times New Roman" w:hAnsi="Times New Roman"/>
          <w:b w:val="false"/>
          <w:i/>
          <w:color w:val="00000A"/>
          <w:position w:val="0"/>
          <w:sz w:val="24"/>
          <w:sz w:val="24"/>
          <w:szCs w:val="24"/>
          <w:vertAlign w:val="baseline"/>
        </w:rPr>
        <w:t>infantil</w:t>
      </w:r>
      <w:r>
        <w:rPr>
          <w:rFonts w:eastAsia="Times New Roman" w:cs="Times New Roman" w:ascii="Times New Roman" w:hAnsi="Times New Roman"/>
          <w:b w:val="false"/>
          <w:i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e de ensino fundamental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” (art. 30, VI, da CF);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bookmarkStart w:id="0" w:name="__DdeLink__303_238201058"/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bookmarkEnd w:id="0"/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que a Lei de Diretrizes e Bases da Educação (LDB), Lei nº 9.394/1996, no art. 4º, determina que o dever do Estado para com a educação pública será efetivado mediante a garantia da educação básica obrigatória e gratuita dos 04 (quatro) aos 17 (dezessete) anos, organizada na forma de pré-escola, ensino fundamental e ensino médio;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</w:t>
      </w:r>
      <w:r>
        <w:rPr>
          <w:rFonts w:eastAsia="Times New Roman" w:cs="Times New Roman" w:ascii="Times New Roman" w:hAnsi="Times New Roman"/>
          <w:sz w:val="24"/>
          <w:szCs w:val="24"/>
        </w:rPr>
        <w:t>ue o acesso à educação básica obrigatória é direito subjetivo, podendo qualquer cidadão, grupo de cidadãos, associação comunitária, organização sindical, entidade de classe ou outra legalmente constituída e, ainda, o Ministério Público acionar o poder público para exigi-lo (art. 5°);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360" w:before="113" w:after="113"/>
        <w:ind w:left="0" w:right="0" w:firstLine="1133"/>
        <w:jc w:val="both"/>
        <w:rPr/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que a LDB disciplina, ainda, que os municípios incumbir-se-ão de “</w:t>
      </w:r>
      <w:r>
        <w:rPr>
          <w:rFonts w:eastAsia="Times New Roman"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oferecer a educação infantil em creches e pré-escolas, e, com prioridade, o ensino fundamental, permitida a atuação em outros níveis de ensino somente quando estiverem atendidas plenamente as necessidades de sua área de competência e com recursos acima dos percentuais mínimos vinculados pela Constituição Federal à manutenção e desenvolvimento do ensino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” (art. 11);</w:t>
      </w:r>
    </w:p>
    <w:p>
      <w:pPr>
        <w:pStyle w:val="Normal"/>
        <w:numPr>
          <w:ilvl w:val="0"/>
          <w:numId w:val="1"/>
        </w:numPr>
        <w:spacing w:lineRule="auto" w:line="360" w:before="113" w:after="113"/>
        <w:ind w:left="0" w:right="0" w:firstLine="1134"/>
        <w:jc w:val="both"/>
        <w:rPr/>
      </w:pPr>
      <w:r>
        <w:rPr>
          <w:rStyle w:val="Nfaseforte"/>
          <w:rFonts w:eastAsia="SimSun;宋体" w:cs="Times New Roman" w:ascii="Times New Roman" w:hAnsi="Times New Roman"/>
          <w:sz w:val="24"/>
          <w:szCs w:val="24"/>
        </w:rPr>
        <w:t xml:space="preserve">CONSIDERANDO 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sz w:val="24"/>
          <w:szCs w:val="24"/>
        </w:rPr>
        <w:t xml:space="preserve">o disposto no art. 212 da CF/88: “A União aplicará, anualmente, nunca menos de dezoito, e os Estados, o Distrito Federal e os </w:t>
      </w:r>
      <w:r>
        <w:rPr>
          <w:rStyle w:val="Nfaseforte"/>
          <w:rFonts w:eastAsia="SimSun;宋体" w:cs="Times New Roman" w:ascii="Times New Roman" w:hAnsi="Times New Roman"/>
          <w:b/>
          <w:bCs/>
          <w:sz w:val="24"/>
          <w:szCs w:val="24"/>
        </w:rPr>
        <w:t>Municípios vinte e cinco por cento, no mínimo, da receita resultante de impostos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, compreendida a proveniente de transferências, na manutenção e desenvolvimento do ensino.”</w:t>
      </w:r>
    </w:p>
    <w:p>
      <w:pPr>
        <w:pStyle w:val="Normal"/>
        <w:numPr>
          <w:ilvl w:val="0"/>
          <w:numId w:val="1"/>
        </w:numPr>
        <w:spacing w:lineRule="auto" w:line="360" w:before="113" w:after="113"/>
        <w:ind w:left="0" w:right="0" w:firstLine="1134"/>
        <w:jc w:val="both"/>
        <w:rPr/>
      </w:pPr>
      <w:r>
        <w:rPr>
          <w:rStyle w:val="Nfaseforte"/>
          <w:rFonts w:eastAsia="SimSun;宋体" w:cs="Times New Roman" w:ascii="Times New Roman" w:hAnsi="Times New Roman"/>
          <w:sz w:val="24"/>
          <w:szCs w:val="24"/>
        </w:rPr>
        <w:t xml:space="preserve">CONSIDERANDO 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a necessidade d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sz w:val="24"/>
          <w:szCs w:val="24"/>
        </w:rPr>
        <w:t>o correto e integral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sz w:val="24"/>
          <w:szCs w:val="24"/>
        </w:rPr>
        <w:t xml:space="preserve"> cumprimento do piso constitucional da educação pelo município fiscalizado, nos termos do art. 212 da CF/88, a partir dos Relatórios Resumidos de Execução Orçamentária (RREOs) publicados.</w:t>
      </w:r>
    </w:p>
    <w:p>
      <w:pPr>
        <w:pStyle w:val="Normal"/>
        <w:numPr>
          <w:ilvl w:val="0"/>
          <w:numId w:val="1"/>
        </w:numPr>
        <w:spacing w:lineRule="auto" w:line="360" w:before="113" w:after="113"/>
        <w:ind w:left="0" w:right="0" w:firstLine="1134"/>
        <w:jc w:val="both"/>
        <w:rPr>
          <w:sz w:val="24"/>
          <w:szCs w:val="24"/>
        </w:rPr>
      </w:pPr>
      <w:r>
        <w:rPr>
          <w:rStyle w:val="Nfaseforte"/>
          <w:rFonts w:eastAsia="SimSun;宋体" w:cs="Times New Roman" w:ascii="Times New Roman" w:hAnsi="Times New Roman"/>
          <w:color w:val="000000"/>
          <w:sz w:val="24"/>
          <w:szCs w:val="24"/>
        </w:rPr>
        <w:t xml:space="preserve">CONSIDERANDO </w:t>
      </w:r>
      <w:r>
        <w:rPr>
          <w:rStyle w:val="Nfaseforte"/>
          <w:rFonts w:eastAsia="SimSun;宋体" w:cs="Times New Roman" w:ascii="Times New Roman" w:hAnsi="Times New Roman"/>
          <w:b w:val="false"/>
          <w:bCs w:val="false"/>
          <w:color w:val="000000"/>
          <w:sz w:val="24"/>
          <w:szCs w:val="24"/>
        </w:rPr>
        <w:t>o apurado no bojo do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PROCEDIMENTO ADMINISTRATIVO,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tombado sob o nº</w:t>
      </w:r>
      <w:r>
        <w:rPr>
          <w:rFonts w:eastAsia="Times New Roman" w:cs="Times New Roman" w:ascii="Times New Roman" w:hAnsi="Times New Roman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*****</w:t>
      </w:r>
      <w:r>
        <w:rPr>
          <w:rFonts w:eastAsia="Times New Roman" w:cs="Times New Roman" w:ascii="Times New Roman" w:hAnsi="Times New Roman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,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cujo objeto consiste n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o acompanhamento do cumprimento efetivo do piso constitucional da educação pelo município </w:t>
      </w:r>
      <w:r>
        <w:rPr>
          <w:rFonts w:eastAsia="Times New Roman" w:cs="Times New Roman" w:ascii="Times New Roman" w:hAnsi="Times New Roman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********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shd w:fill="FFFF00" w:val="clear"/>
          <w:vertAlign w:val="baseline"/>
        </w:rPr>
        <w:t>,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no ano de </w:t>
      </w:r>
      <w:r>
        <w:rPr>
          <w:rFonts w:eastAsia="Times New Roman" w:cs="Times New Roman" w:ascii="Times New Roman" w:hAnsi="Times New Roman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********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, notadamente quanto à efetiva aplicação em MDE, nos termos dos arts. 70 e 71 da Lei  nº 9.394/96.</w:t>
      </w:r>
    </w:p>
    <w:p>
      <w:pPr>
        <w:pStyle w:val="Normal"/>
        <w:suppressAutoHyphens w:val="true"/>
        <w:spacing w:lineRule="auto" w:line="360" w:before="113" w:after="113"/>
        <w:ind w:left="0" w:right="0" w:firstLine="113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CONSIDERANDO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 xml:space="preserve">a identificação de despesas realizadas pelo Município no município de apuração que não se amoldaram às prescrições da Lei nº 9.394/96, em especial: a) </w:t>
      </w:r>
      <w:r>
        <w:rPr>
          <w:rFonts w:eastAsia="Times New Roman" w:cs="Times New Roman" w:ascii="Times New Roman" w:hAnsi="Times New Roman"/>
          <w:b w:val="false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citar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 xml:space="preserve">; b) </w:t>
      </w:r>
      <w:r>
        <w:rPr>
          <w:rFonts w:eastAsia="Times New Roman" w:cs="Times New Roman" w:ascii="Times New Roman" w:hAnsi="Times New Roman"/>
          <w:b w:val="false"/>
          <w:color w:val="C9211E"/>
          <w:position w:val="0"/>
          <w:sz w:val="24"/>
          <w:sz w:val="24"/>
          <w:szCs w:val="24"/>
          <w:shd w:fill="FFFF00" w:val="clear"/>
          <w:vertAlign w:val="baseline"/>
        </w:rPr>
        <w:t>citar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 xml:space="preserve"> etc.</w:t>
      </w:r>
    </w:p>
    <w:p>
      <w:pPr>
        <w:pStyle w:val="Normal"/>
        <w:suppressAutoHyphens w:val="true"/>
        <w:spacing w:lineRule="auto" w:line="360" w:before="113" w:after="113"/>
        <w:ind w:left="0" w:right="0" w:firstLine="1134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  <w:lang w:val="pt-BR"/>
        </w:rPr>
        <w:t>CONSIDERANDO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 xml:space="preserve">, finalmente, a necessidade de o 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shd w:fill="FFFF00" w:val="clear"/>
          <w:vertAlign w:val="baseline"/>
          <w:lang w:val="pt-BR"/>
        </w:rPr>
        <w:t>Município de **********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 xml:space="preserve"> se adequar às normas constitucionais, bem como às normas da legislação federal, relativas às políticas de 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>financiamento da educação e o cumprimento do piso constitucion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>a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>l</w:t>
      </w: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  <w:lang w:val="pt-BR"/>
        </w:rPr>
        <w:t>, visando a garantir a plenitude do direito à educação;</w:t>
      </w:r>
    </w:p>
    <w:p>
      <w:pPr>
        <w:pStyle w:val="Normal"/>
        <w:spacing w:lineRule="auto" w:line="360"/>
        <w:ind w:firstLine="117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RESOLVE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o Ministério Público do Estado do Ceará, através da Promotoria de Justiça de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shd w:fill="FFFF00" w:val="clear"/>
          <w:lang w:val="pt-BR"/>
        </w:rPr>
        <w:t>XXXXXX,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no uso de suas atribuições legais,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RECOMENDAR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ao Excelentíssimo Senhor Prefeito Municipal — ou a quem lhe venha suceder ou substituir — 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 a Senhora Secretária Municipal de Educação, que:</w:t>
      </w:r>
    </w:p>
    <w:p>
      <w:pPr>
        <w:pStyle w:val="Normal"/>
        <w:spacing w:lineRule="auto" w:line="360"/>
        <w:ind w:firstLine="117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(a)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t-BR"/>
        </w:rPr>
        <w:t>Apenas apliquem a receita decorrente de impostos municipais que constituem o cumprimento do piso constitucional da educação de 25% em despesas de MDE previstas expressamente no rol do art.70, da LDB, a saber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:</w:t>
      </w:r>
      <w:r>
        <w:rPr>
          <w:rFonts w:eastAsia="Times New Roman"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“I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remuneração e aperfeiçoamento do pessoal docente e demais profissionais da educação; </w:t>
      </w:r>
      <w:bookmarkStart w:id="1" w:name="art70ii"/>
      <w:bookmarkEnd w:id="1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II - aquisição, manutenção, construção e conservação de instalações e equipamentos necessários ao ensino; </w:t>
      </w:r>
      <w:bookmarkStart w:id="2" w:name="art70iii"/>
      <w:bookmarkEnd w:id="2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III – uso e manutenção de bens e serviços vinculados ao ensino;</w:t>
      </w:r>
      <w:bookmarkStart w:id="3" w:name="art70iv"/>
      <w:bookmarkEnd w:id="3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IV - levantamentos estatísticos, estudos e pesquisas visando precipuamente ao aprimoramento da qualidade e à expansão do ensino; </w:t>
      </w:r>
      <w:bookmarkStart w:id="4" w:name="art70v"/>
      <w:bookmarkEnd w:id="4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V - realização de atividades-meio necessárias ao funcionamento dos sistemas de ensino; </w:t>
      </w:r>
      <w:bookmarkStart w:id="5" w:name="art70vi.0"/>
      <w:bookmarkEnd w:id="5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VI - concessão de bolsas de estudo a alunos de escolas públicas e privadas e concessão de incentivo financeiro-educacional, na modalidade de poupança, destinado à permanência e à conclusão escolar de estudantes matriculados no ensino médio público; </w:t>
      </w:r>
      <w:bookmarkStart w:id="6" w:name="art70vii"/>
      <w:bookmarkEnd w:id="6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VII - amortização e custeio de operações de crédito destinadas a atender ao disposto nos incisos deste artigo; </w:t>
      </w:r>
      <w:bookmarkStart w:id="7" w:name="art70viii"/>
      <w:bookmarkEnd w:id="7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VIII - aquisição de material didático-escolar e manutenção de programas de transporte escolar; </w:t>
      </w:r>
      <w:bookmarkStart w:id="8" w:name="art70ix"/>
      <w:bookmarkEnd w:id="8"/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IX – realização de atividades curriculares complementares voltadas ao aprendizado dos alunos ou à formação continuada dos profissionais da educação, tais como exposições, feiras ou mostras de ciências da natureza ou humanas, matemática, língua portuguesa ou língua estrangeira, literatura e cultura.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”</w:t>
      </w:r>
    </w:p>
    <w:p>
      <w:pPr>
        <w:pStyle w:val="Normal"/>
        <w:spacing w:lineRule="auto" w:line="360"/>
        <w:ind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(b)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t-BR"/>
        </w:rPr>
        <w:t xml:space="preserve">Adotem providências no âmbito do controle interno para que os mecanismos de realização dessa despesa pública sejam melhor qualificados, a fim de evitar a retiração das falhas identificadas nos autos do presente procedimento administrativo, quais sejam: </w:t>
      </w: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4"/>
          <w:szCs w:val="24"/>
          <w:shd w:fill="FFFF00" w:val="clear"/>
          <w:lang w:val="pt-BR"/>
        </w:rPr>
        <w:t>(citar****)</w:t>
      </w:r>
    </w:p>
    <w:p>
      <w:pPr>
        <w:pStyle w:val="Normal"/>
        <w:spacing w:lineRule="auto" w:line="360"/>
        <w:ind w:firstLine="117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c) Adotem providências no sentido de melhorar a transparência dos gastos em MDE, por meio de informações próprias no sítio eletrônico da Prefeitura Municipal de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shd w:fill="FFFF00" w:val="clear"/>
          <w:lang w:val="pt-BR"/>
        </w:rPr>
        <w:t xml:space="preserve">**********.,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pt-BR"/>
        </w:rPr>
        <w:t>de modo a garantir melhor controle social.</w:t>
      </w:r>
    </w:p>
    <w:p>
      <w:pPr>
        <w:pStyle w:val="Normal"/>
        <w:spacing w:lineRule="auto" w:line="360"/>
        <w:ind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Por fim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, na forma do artigo 27, parágrafo único, inciso IV, segunda parte, da Lei nº 8.625/93, c/c art. 10 da Resolução n.º 174/2017, sob penas da legislação, o Ministério Público, por meio do Promotor de Justiça ao final assinado,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REQUISITA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que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 xml:space="preserve">no prazo de até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10 (dez) dias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seja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encaminhada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 à sede da Promotoria de Justiça de XXXXXX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resposta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s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, por escrito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, sobre a aceitação e adoção das medidas para cumprimento desta RECOMENDAÇÃO.</w:t>
      </w:r>
    </w:p>
    <w:p>
      <w:pPr>
        <w:pStyle w:val="Normal"/>
        <w:spacing w:lineRule="auto" w:line="360"/>
        <w:ind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Alerta-se que o não cumprimento desta recomendação, sem justificativas formais, poderá resultar no ajuizamento das ações cíveis cabíveis, inclusive para responsabilização pela ação/omissão, sem prejuízo da adoção de outras providências pertinentes, eis que a preterição de princípios regentes da Administração Pública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caracterizará, a partir deste ato, evidente má-fé e dolo DAS AUTORIDADES PÚBLICAS ENDEREÇADAS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spacing w:lineRule="auto" w:line="360"/>
        <w:ind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Publique-se. Registre-se. Cumpra-se.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firstLine="117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Município/UF, __ de ________ de 20__.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[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Assinatura do promotor(a)]</w:t>
      </w:r>
    </w:p>
    <w:p>
      <w:pPr>
        <w:pStyle w:val="Normal"/>
        <w:bidi w:val="0"/>
        <w:spacing w:lineRule="auto" w:line="360" w:beforeAutospacing="0" w:before="0" w:afterAutospacing="0" w:after="16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pt-BR"/>
        </w:rPr>
        <w:t>Promotor(a) de Justiça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inline distT="0" distB="0" distL="0" distR="0">
          <wp:extent cx="5724525" cy="10477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before="0" w:after="160"/>
      <w:jc w:val="center"/>
      <w:rPr>
        <w:rFonts w:asciiTheme="minorHAnsi" w:cstheme="minorBidi" w:eastAsiaTheme="minorHAnsi" w:hAnsiTheme="minorHAnsi"/>
        <w:color w:val="FF0000"/>
        <w:highlight w:val="none"/>
        <w:shd w:fill="FFFF00" w:val="clear"/>
      </w:rPr>
    </w:pPr>
    <w:r>
      <w:rPr>
        <w:rFonts w:eastAsia="Times New Roman" w:cs="Times New Roman" w:ascii="Times New Roman" w:hAnsi="Times New Roman"/>
        <w:color w:val="FF0000"/>
        <w:shd w:fill="FFFF00" w:val="clear"/>
      </w:rPr>
      <w:t>endereço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inline distT="0" distB="0" distL="0" distR="0">
          <wp:extent cx="5410835" cy="675640"/>
          <wp:effectExtent l="0" t="0" r="0" b="0"/>
          <wp:docPr id="1" name="drawi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before="0" w:after="160"/>
      <w:jc w:val="center"/>
      <w:rPr>
        <w:rFonts w:asciiTheme="minorHAnsi" w:cstheme="minorBidi" w:eastAsiaTheme="minorHAnsi" w:hAnsiTheme="minorHAnsi"/>
        <w:color w:val="C9211E"/>
        <w:highlight w:val="none"/>
        <w:shd w:fill="FFFF00" w:val="clear"/>
      </w:rPr>
    </w:pPr>
    <w:r>
      <w:rPr>
        <w:rFonts w:eastAsia="Times New Roman" w:cs="Times New Roman" w:ascii="Times New Roman" w:hAnsi="Times New Roman"/>
        <w:b/>
        <w:bCs/>
        <w:color w:val="C9211E"/>
        <w:shd w:fill="FFFF00" w:val="clear"/>
      </w:rPr>
      <w:t>[Órgão do protocolo/procedimento]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36"/>
        <w:sz w:val="36"/>
        <w:b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rsid w:val="48d2e15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99"/>
    <w:unhideWhenUsed/>
    <w:rsid w:val="48d2e15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LibreOffice/7.3.5.2$Windows_X86_64 LibreOffice_project/184fe81b8c8c30d8b5082578aee2fed2ea847c01</Application>
  <AppVersion>15.0000</AppVersion>
  <Pages>5</Pages>
  <Words>1547</Words>
  <Characters>8705</Characters>
  <CharactersWithSpaces>10221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2025-08-05T13:25:29Z</dcterms:created>
  <dc:creator>Elen Evangelista Mesquita</dc:creator>
  <dc:description/>
  <dc:language>pt-BR</dc:language>
  <cp:lastModifiedBy/>
  <dcterms:modified xsi:type="dcterms:W3CDTF">2025-08-13T14:56:36Z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