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emf" ContentType="image/x-em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0" w:leader="none"/>
        </w:tabs>
        <w:ind w:hanging="576" w:left="57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PORTARIA Nº </w:t>
      </w:r>
      <w:r>
        <w:rPr>
          <w:b/>
          <w:bCs/>
          <w:sz w:val="24"/>
          <w:szCs w:val="24"/>
          <w:highlight w:val="yellow"/>
        </w:rPr>
        <w:t>****/202*</w:t>
      </w:r>
    </w:p>
    <w:p>
      <w:pPr>
        <w:pStyle w:val="NormalWeb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PROCEDIMENTO ADMINISTRATIVO </w:t>
      </w:r>
      <w:r>
        <w:rPr>
          <w:b/>
          <w:bCs/>
          <w:sz w:val="24"/>
          <w:szCs w:val="24"/>
          <w:highlight w:val="yellow"/>
          <w:u w:val="single"/>
        </w:rPr>
        <w:t>Nº **/202*</w:t>
      </w:r>
    </w:p>
    <w:p>
      <w:pPr>
        <w:pStyle w:val="Normal"/>
        <w:suppressAutoHyphens w:val="false"/>
        <w:ind w:left="1016"/>
        <w:textAlignment w:val="auto"/>
        <w:rPr>
          <w:rFonts w:ascii="Times New Roman" w:hAnsi="Times New Roman" w:eastAsia="Arial" w:cs="Arial"/>
          <w:b/>
          <w:bCs/>
          <w:kern w:val="0"/>
          <w:sz w:val="24"/>
          <w:szCs w:val="24"/>
          <w:lang w:val="pt-PT" w:eastAsia="en-US" w:bidi="ar-SA"/>
        </w:rPr>
      </w:pPr>
      <w:r>
        <w:rPr>
          <w:rFonts w:eastAsia="Arial" w:cs="Arial"/>
          <w:b/>
          <w:bCs/>
          <w:kern w:val="0"/>
          <w:sz w:val="24"/>
          <w:szCs w:val="24"/>
          <w:lang w:val="pt-PT" w:eastAsia="en-US" w:bidi="ar-SA"/>
        </w:rPr>
      </w:r>
    </w:p>
    <w:p>
      <w:pPr>
        <w:pStyle w:val="Normal"/>
        <w:suppressAutoHyphens w:val="false"/>
        <w:textAlignment w:val="auto"/>
        <w:rPr>
          <w:rFonts w:ascii="Times New Roman" w:hAnsi="Times New Roman" w:eastAsia="Arial MT" w:cs="Arial"/>
          <w:b/>
          <w:kern w:val="0"/>
          <w:sz w:val="24"/>
          <w:szCs w:val="24"/>
          <w:lang w:val="pt-PT" w:eastAsia="en-US" w:bidi="ar-SA"/>
        </w:rPr>
      </w:pPr>
      <w:r>
        <w:rPr>
          <w:rFonts w:eastAsia="Arial MT" w:cs="Arial"/>
          <w:b/>
          <w:kern w:val="0"/>
          <w:sz w:val="24"/>
          <w:szCs w:val="24"/>
          <w:lang w:val="pt-PT" w:eastAsia="en-US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O </w:t>
      </w:r>
      <w:r>
        <w:rPr>
          <w:rFonts w:eastAsia="Times New Roman" w:cs="Times New Roman"/>
          <w:b/>
          <w:color w:val="000000"/>
          <w:sz w:val="24"/>
          <w:szCs w:val="24"/>
        </w:rPr>
        <w:t>MINISTÉRIO PÚBLICO DO ESTADO DO CEARÁ</w:t>
      </w:r>
      <w:r>
        <w:rPr>
          <w:rFonts w:eastAsia="Times New Roman" w:cs="Times New Roman"/>
          <w:color w:val="000000"/>
          <w:sz w:val="24"/>
          <w:szCs w:val="24"/>
        </w:rPr>
        <w:t>, por seu membro adiante assinado, no uso das atribuições legais e constitucionais conferidas pelos arts. 127 e 129, ambos da Constituição Federal de 1988, art. 130, III, da Constituição do Estado do Ceará, art. 26, I, da Lei nº 8.625/93 e na Resolução nº 007/2010, do Colégio de Procuradores de Justiça do Estado do Ceará, bem assim disposições do Manual de Taxonomia do Conselho Nacional do Ministério Público.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Arial MT" w:cs="Arial"/>
          <w:b/>
          <w:kern w:val="0"/>
          <w:sz w:val="24"/>
          <w:szCs w:val="24"/>
          <w:lang w:val="pt-PT" w:eastAsia="en-US" w:bidi="ar-SA"/>
        </w:rPr>
        <w:t xml:space="preserve">CONSIDERANDO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que o MINISTÉRIO PÚBLICO é instituição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permanente,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essencial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à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função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jurisdicional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do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Estado,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incumbindo-lhe a defesa da ordem jurídica, do regime democrático e dos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interesses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sociais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e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individuais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indisponíveis,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conforme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preceitua</w:t>
      </w:r>
      <w:r>
        <w:rPr>
          <w:rFonts w:eastAsia="Arial MT" w:cs="Arial"/>
          <w:spacing w:val="70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o art.</w:t>
      </w:r>
      <w:r>
        <w:rPr>
          <w:rFonts w:eastAsia="Arial MT" w:cs="Arial"/>
          <w:spacing w:val="-67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127</w:t>
      </w:r>
      <w:r>
        <w:rPr>
          <w:rFonts w:eastAsia="Arial MT" w:cs="Arial"/>
          <w:spacing w:val="-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da Constituição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da República, dentre eles a educação;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Arial MT" w:cs="Arial"/>
          <w:b/>
          <w:kern w:val="0"/>
          <w:sz w:val="24"/>
          <w:szCs w:val="24"/>
          <w:lang w:val="pt-PT" w:eastAsia="en-US" w:bidi="ar-SA"/>
        </w:rPr>
        <w:t>CONSIDERANDO</w:t>
      </w:r>
      <w:r>
        <w:rPr>
          <w:rFonts w:eastAsia="Arial MT" w:cs="Arial"/>
          <w:b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que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é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função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institucional</w:t>
      </w:r>
      <w:r>
        <w:rPr>
          <w:rFonts w:eastAsia="Arial MT" w:cs="Arial"/>
          <w:spacing w:val="7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do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Ministério Público zelar pelo efetivo respeito dos Poderes Públicos e dos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serviços de relevância pública aos direitos assegurados na Constituição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Federal, promovendo as medidas necessárias a sua garantia, na forma</w:t>
      </w:r>
      <w:r>
        <w:rPr>
          <w:rFonts w:eastAsia="Arial MT" w:cs="Arial"/>
          <w:spacing w:val="70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do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art.</w:t>
      </w:r>
      <w:r>
        <w:rPr>
          <w:rFonts w:eastAsia="Arial MT" w:cs="Arial"/>
          <w:spacing w:val="-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129, inciso</w:t>
      </w:r>
      <w:r>
        <w:rPr>
          <w:rFonts w:eastAsia="Arial MT" w:cs="Arial"/>
          <w:spacing w:val="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Arial MT" w:cs="Arial"/>
          <w:kern w:val="0"/>
          <w:sz w:val="24"/>
          <w:szCs w:val="24"/>
          <w:lang w:val="pt-PT" w:eastAsia="en-US" w:bidi="ar-SA"/>
        </w:rPr>
        <w:t>II, da Lei Maior;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Arial MT" w:cs="Arial"/>
          <w:b/>
          <w:kern w:val="0"/>
          <w:sz w:val="24"/>
          <w:szCs w:val="24"/>
          <w:lang w:val="pt-PT" w:eastAsia="en-US"/>
        </w:rPr>
        <w:t>CONSIDERANDO</w:t>
      </w:r>
      <w:r>
        <w:rPr>
          <w:rFonts w:eastAsia="Arial MT" w:cs="Arial"/>
          <w:kern w:val="0"/>
          <w:sz w:val="24"/>
          <w:szCs w:val="24"/>
          <w:lang w:val="pt-PT" w:eastAsia="en-US"/>
        </w:rPr>
        <w:t xml:space="preserve"> o dever institucional do Ministério Público à promoção e defesa do direito humano à educação, cabendo-lhe adotar todas as medidas legais cabíveis para sua tutela, visando garantir o acesso ao direito constitucional à educação, direito de todos e dever do Estado e da família, previsto no art. 205, da Constituição Federal;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sz w:val="24"/>
          <w:szCs w:val="24"/>
          <w:lang w:eastAsia="pt-BR"/>
        </w:rPr>
        <w:t xml:space="preserve">CONSIDERANDO </w:t>
      </w:r>
      <w:r>
        <w:rPr>
          <w:rFonts w:eastAsia="Times New Roman" w:cs="Arial"/>
          <w:b w:val="false"/>
          <w:bCs w:val="false"/>
          <w:sz w:val="24"/>
          <w:szCs w:val="24"/>
          <w:lang w:eastAsia="pt-BR"/>
        </w:rPr>
        <w:t>que a alfabetização constitui a base para o desenvolvimento das demais competências e aprendizagens ao longo da trajetória escolar, sendo, portanto, etapa estratégica para a redução das desigualdades educacionais e para a garantia do direito à educação com equidade e qualidade;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sz w:val="24"/>
          <w:szCs w:val="24"/>
          <w:lang w:eastAsia="pt-BR"/>
        </w:rPr>
        <w:t xml:space="preserve">CONSIDERANDO </w:t>
      </w:r>
      <w:r>
        <w:rPr>
          <w:rFonts w:eastAsia="Times New Roman" w:cs="Arial"/>
          <w:b w:val="false"/>
          <w:bCs w:val="false"/>
          <w:sz w:val="24"/>
          <w:szCs w:val="24"/>
          <w:lang w:eastAsia="pt-BR"/>
        </w:rPr>
        <w:t xml:space="preserve">que a Constituição Federal assegura a garantia do direito à educação e à aprendizagem ao longo da vida como princípio do ensino (art. 206, inciso IX) e </w:t>
      </w:r>
      <w:r>
        <w:rPr>
          <w:rFonts w:eastAsia="Times New Roman" w:cs="Arial"/>
          <w:b w:val="false"/>
          <w:bCs w:val="false"/>
          <w:sz w:val="24"/>
          <w:szCs w:val="24"/>
          <w:shd w:fill="auto" w:val="clear"/>
          <w:lang w:eastAsia="pt-BR"/>
        </w:rPr>
        <w:t>estabelece, como objetivo do Plano Nacional de Educação, a erradicação do analfabetismo (art. 214, inciso I), co</w:t>
      </w:r>
      <w:r>
        <w:rPr>
          <w:rFonts w:eastAsia="Times New Roman" w:cs="Arial"/>
          <w:b w:val="false"/>
          <w:bCs w:val="false"/>
          <w:sz w:val="24"/>
          <w:szCs w:val="24"/>
          <w:lang w:eastAsia="pt-BR"/>
        </w:rPr>
        <w:t>nstituindo fundamentos normativos essenciais para a formulação, implementação e monitoramento de políticas públicas educacionais pelos entes federativos;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sz w:val="24"/>
          <w:szCs w:val="24"/>
          <w:lang w:eastAsia="pt-BR"/>
        </w:rPr>
        <w:t xml:space="preserve">CONSIDERANDO 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eastAsia="pt-BR"/>
        </w:rPr>
        <w:t xml:space="preserve">que os 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eastAsia="pt-BR"/>
        </w:rPr>
        <w:t xml:space="preserve">mais recentes </w:t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eastAsia="pt-BR"/>
        </w:rPr>
        <w:t>resultados do Indicador Criança Alfabetizada divulgados pelo Instituto Nacional de Estudos e Pesquisas Educacionais Anísio Teixeira – INEP evidenciam a necessidade de continuidade e intensificação das políticas públicas de alfabetização, tendo o percentual nacional de estudantes alfabetizados ao final do 2° ano do ensino fundamental evoluído de 59% em 2024 para 66% em 2025</w:t>
      </w:r>
      <w:r>
        <w:rPr>
          <w:rStyle w:val="FootnoteReference"/>
          <w:rFonts w:eastAsia="Times New Roman" w:cs="Times New Roman"/>
          <w:b w:val="false"/>
          <w:bCs w:val="false"/>
          <w:sz w:val="24"/>
          <w:szCs w:val="24"/>
          <w:shd w:fill="auto" w:val="clear"/>
          <w:lang w:eastAsia="pt-BR"/>
        </w:rPr>
        <w:footnoteReference w:id="2"/>
      </w:r>
      <w:r>
        <w:rPr>
          <w:rFonts w:eastAsia="Times New Roman" w:cs="Times New Roman"/>
          <w:b w:val="false"/>
          <w:bCs w:val="false"/>
          <w:sz w:val="24"/>
          <w:szCs w:val="24"/>
          <w:shd w:fill="auto" w:val="clear"/>
          <w:lang w:eastAsia="pt-BR"/>
        </w:rPr>
        <w:t>, permanecendo, contudo, a necessidade de intensificação das políticas públicas voltadas à alfabetização na idade certa;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sz w:val="24"/>
          <w:szCs w:val="24"/>
          <w:lang w:eastAsia="pt-BR"/>
        </w:rPr>
        <w:t xml:space="preserve">CONSIDERANDO </w:t>
      </w:r>
      <w:r>
        <w:rPr>
          <w:rFonts w:eastAsia="Times New Roman" w:cs="Arial"/>
          <w:b w:val="false"/>
          <w:bCs w:val="false"/>
          <w:sz w:val="24"/>
          <w:szCs w:val="24"/>
          <w:lang w:eastAsia="pt-BR"/>
        </w:rPr>
        <w:t>que a persistência de elevadas taxas de analfabetismo, inclusive entre crianças em fase de escolarização obrigatória, configura violação ao direito fundamental à educação e evidencia a insuficiência de políticas públicas eficazes para sua superação;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sz w:val="24"/>
          <w:szCs w:val="24"/>
          <w:lang w:eastAsia="pt-BR"/>
        </w:rPr>
        <w:t>CONSIDERANDO</w:t>
      </w:r>
      <w:r>
        <w:rPr>
          <w:rFonts w:eastAsia="Times New Roman" w:cs="Arial"/>
          <w:sz w:val="24"/>
          <w:szCs w:val="24"/>
          <w:lang w:eastAsia="pt-BR"/>
        </w:rPr>
        <w:t xml:space="preserve"> que, nos termos do art. 211 da Constituição Federal e do art. 11, inciso V, da Lei de Diretrizes e Bases da Educação Nacional (Lei nº 9.394/1996), compete prioritariamente aos Municípios a oferta do ensino fundamental, etapa em que se insere a alfabetização das crianças, cujo processo deve ocorrer, de forma equânime e com qualidade, até o 2º ano, conforme disposto na Base Nacional Comum Curricular (BNCC);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CONSIDERANDO</w:t>
      </w:r>
      <w:r>
        <w:rPr>
          <w:rFonts w:cs="Arial"/>
          <w:sz w:val="24"/>
          <w:szCs w:val="24"/>
        </w:rPr>
        <w:t xml:space="preserve"> a Lei nº 15.247/2025, que instituiu o Compromisso Nacional Criança Alfabetizada, que tem dentre seus </w:t>
      </w:r>
      <w:r>
        <w:rPr>
          <w:rFonts w:eastAsia="Times New Roman" w:cs="Arial"/>
          <w:color w:val="auto"/>
          <w:kern w:val="2"/>
          <w:sz w:val="24"/>
          <w:szCs w:val="24"/>
          <w:lang w:val="pt-BR" w:eastAsia="pt-BR" w:bidi="hi-IN"/>
        </w:rPr>
        <w:t xml:space="preserve">objetivos </w:t>
      </w:r>
      <w:r>
        <w:rPr>
          <w:rFonts w:eastAsia="Times New Roman" w:cs="Arial"/>
          <w:i/>
          <w:iCs/>
          <w:color w:val="auto"/>
          <w:kern w:val="2"/>
          <w:sz w:val="24"/>
          <w:szCs w:val="24"/>
          <w:lang w:val="pt-BR" w:eastAsia="pt-BR" w:bidi="hi-IN"/>
        </w:rPr>
        <w:t>“implementar políticas, programas e ações para que as crianças brasileiras estejam alfabetizadas ao final do segundo ano do ensino fundamental”</w:t>
      </w:r>
      <w:r>
        <w:rPr>
          <w:rFonts w:eastAsia="Times New Roman" w:cs="Arial"/>
          <w:color w:val="auto"/>
          <w:kern w:val="2"/>
          <w:sz w:val="24"/>
          <w:szCs w:val="24"/>
          <w:lang w:val="pt-BR" w:eastAsia="pt-BR" w:bidi="hi-IN"/>
        </w:rPr>
        <w:t>;</w:t>
      </w:r>
      <w:r>
        <w:rPr>
          <w:rFonts w:eastAsia="Times New Roman" w:cs="Arial"/>
          <w:color w:val="auto"/>
          <w:kern w:val="2"/>
          <w:sz w:val="24"/>
          <w:szCs w:val="24"/>
          <w:lang w:val="pt-BR" w:eastAsia="pt-BR" w:bidi="hi-IN"/>
        </w:rPr>
        <w:t xml:space="preserve">                                                                               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/>
      </w:pPr>
      <w:r>
        <w:rPr>
          <w:rStyle w:val="Strong"/>
          <w:sz w:val="24"/>
          <w:szCs w:val="24"/>
        </w:rPr>
        <w:t>CONSIDERANDO</w:t>
      </w:r>
      <w:r>
        <w:rPr>
          <w:sz w:val="24"/>
          <w:szCs w:val="24"/>
        </w:rPr>
        <w:t xml:space="preserve"> que o atual Plano Nacional de Educação, instituído pela Lei Federal nº 15.388, de 2026, estabelece como</w:t>
      </w:r>
      <w:r>
        <w:rPr>
          <w:b/>
          <w:bCs/>
          <w:sz w:val="24"/>
          <w:szCs w:val="24"/>
        </w:rPr>
        <w:t xml:space="preserve"> Meta 3.a</w:t>
      </w:r>
      <w:r>
        <w:rPr>
          <w:sz w:val="24"/>
          <w:szCs w:val="24"/>
        </w:rPr>
        <w:t xml:space="preserve"> que, até o quinto ano de sua vigência, no mínimo 80% (oitenta por cento) das crianças estejam alfabetizadas ao final do segundo ano do ensino fundamental, assegurando, ao término do decênio, a alfabetização de todas as crianças nessa etapa de escolarização.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360" w:before="113" w:after="113"/>
        <w:ind w:firstLine="1134" w:left="0" w:right="0"/>
        <w:jc w:val="both"/>
        <w:textAlignment w:val="auto"/>
        <w:rPr>
          <w:rFonts w:ascii="Times New Roman" w:hAnsi="Times New Roman" w:eastAsia="Times New Roman" w:cs="Arial"/>
          <w:bCs/>
          <w:sz w:val="24"/>
          <w:szCs w:val="24"/>
          <w:lang w:eastAsia="pt-BR"/>
        </w:rPr>
      </w:pPr>
      <w:r>
        <w:rPr>
          <w:rFonts w:eastAsia="Times New Roman" w:cs="Arial"/>
          <w:bCs/>
          <w:sz w:val="24"/>
          <w:szCs w:val="24"/>
          <w:lang w:eastAsia="pt-BR"/>
        </w:rPr>
      </w:r>
    </w:p>
    <w:p>
      <w:pPr>
        <w:pStyle w:val="BodyTextIndent2"/>
        <w:spacing w:lineRule="auto" w:line="360"/>
        <w:ind w:firstLine="1134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cs="Arial" w:ascii="Times New Roman" w:hAnsi="Times New Roman"/>
          <w:b/>
          <w:sz w:val="24"/>
          <w:szCs w:val="24"/>
          <w:u w:val="single"/>
          <w:shd w:fill="auto" w:val="clear"/>
        </w:rPr>
        <w:t>RESOLVE:</w:t>
      </w:r>
    </w:p>
    <w:p>
      <w:pPr>
        <w:pStyle w:val="BodyTextIndent2"/>
        <w:spacing w:lineRule="auto" w:line="360"/>
        <w:ind w:firstLine="1134"/>
        <w:rPr>
          <w:rFonts w:ascii="Times New Roman" w:hAnsi="Times New Roman" w:cs="Arial"/>
          <w:b/>
          <w:sz w:val="24"/>
          <w:szCs w:val="24"/>
          <w:highlight w:val="none"/>
          <w:u w:val="single"/>
          <w:shd w:fill="BBE33D" w:val="clear"/>
        </w:rPr>
      </w:pPr>
      <w:r>
        <w:rPr>
          <w:rFonts w:cs="Arial" w:ascii="Times New Roman" w:hAnsi="Times New Roman"/>
          <w:b/>
          <w:sz w:val="24"/>
          <w:szCs w:val="24"/>
          <w:u w:val="single"/>
          <w:shd w:fill="BBE33D" w:val="clear"/>
        </w:rPr>
      </w:r>
    </w:p>
    <w:p>
      <w:pPr>
        <w:pStyle w:val="BodyTextIndent2"/>
        <w:spacing w:lineRule="auto" w:line="360"/>
        <w:ind w:firstLine="1134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Art.1º.</w:t>
      </w:r>
      <w:r>
        <w:rPr>
          <w:rFonts w:cs="Times New Roman" w:ascii="Times New Roman" w:hAnsi="Times New Roman"/>
          <w:sz w:val="24"/>
          <w:szCs w:val="24"/>
        </w:rPr>
        <w:t xml:space="preserve"> I</w:t>
      </w:r>
      <w:r>
        <w:rPr>
          <w:rFonts w:cs="Arial" w:ascii="Times New Roman" w:hAnsi="Times New Roman"/>
          <w:sz w:val="24"/>
          <w:szCs w:val="24"/>
        </w:rPr>
        <w:t xml:space="preserve">nstaurar </w:t>
      </w:r>
      <w:r>
        <w:rPr>
          <w:rFonts w:cs="Arial" w:ascii="Times New Roman" w:hAnsi="Times New Roman"/>
          <w:b/>
          <w:bCs/>
          <w:sz w:val="24"/>
          <w:szCs w:val="24"/>
        </w:rPr>
        <w:t>PROCEDIMENTO ADMINISTRATIVO</w:t>
      </w:r>
      <w:r>
        <w:rPr>
          <w:rFonts w:cs="Arial" w:ascii="Times New Roman" w:hAnsi="Times New Roman"/>
          <w:sz w:val="24"/>
          <w:szCs w:val="24"/>
        </w:rPr>
        <w:t xml:space="preserve"> </w:t>
      </w:r>
      <w:r>
        <w:rPr>
          <w:rFonts w:cs="Arial" w:ascii="Times New Roman" w:hAnsi="Times New Roman"/>
          <w:strike w:val="false"/>
          <w:dstrike w:val="false"/>
          <w:sz w:val="24"/>
          <w:szCs w:val="24"/>
          <w:shd w:fill="auto" w:val="clear"/>
        </w:rPr>
        <w:t>com a finalidade de</w:t>
      </w:r>
      <w:r>
        <w:rPr>
          <w:rFonts w:cs="Arial" w:ascii="Times New Roman" w:hAnsi="Times New Roman"/>
          <w:strike w:val="false"/>
          <w:dstrike w:val="false"/>
          <w:sz w:val="24"/>
          <w:szCs w:val="24"/>
        </w:rPr>
        <w:t xml:space="preserve"> a</w:t>
      </w:r>
      <w:r>
        <w:rPr>
          <w:rFonts w:cs="Arial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companhar e fiscalizar a </w:t>
      </w:r>
      <w:r>
        <w:rPr>
          <w:rFonts w:cs="Arial" w:ascii="Times New Roman" w:hAnsi="Times New Roman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implementação no âmbito, da rede pública municipal de ensino de </w:t>
      </w:r>
      <w:r>
        <w:rPr>
          <w:rFonts w:cs="Arial" w:ascii="Times New Roman" w:hAnsi="Times New Roman"/>
          <w:b w:val="false"/>
          <w:bCs w:val="false"/>
          <w:i w:val="false"/>
          <w:iCs w:val="false"/>
          <w:sz w:val="24"/>
          <w:szCs w:val="24"/>
          <w:shd w:fill="FFFF00" w:val="clear"/>
        </w:rPr>
        <w:t>[NOME DO MUNICÍPIO]</w:t>
      </w:r>
      <w:r>
        <w:rPr>
          <w:rFonts w:cs="Arial" w:ascii="Times New Roman" w:hAnsi="Times New Roman"/>
          <w:b w:val="false"/>
          <w:bCs w:val="false"/>
          <w:i w:val="false"/>
          <w:iCs w:val="false"/>
          <w:sz w:val="24"/>
          <w:szCs w:val="24"/>
          <w:shd w:fill="auto" w:val="clear"/>
        </w:rPr>
        <w:t>, das políticas, ações e estratégias destinadas à garantia da alfabetização de crianças até o final do 2° ano do ensino fundamental e à recomposição das aprendizagens nos anos iniciais, em consonância com o Compromisso Nacional Criança Alfabetizada e com as metas estabelecidas no Plano Nacional de Educação.</w:t>
      </w:r>
    </w:p>
    <w:p>
      <w:pPr>
        <w:pStyle w:val="Normal"/>
        <w:spacing w:lineRule="auto" w:line="360" w:before="240" w:after="0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Art. 2º.</w:t>
      </w:r>
      <w:r>
        <w:rPr>
          <w:sz w:val="24"/>
          <w:szCs w:val="24"/>
        </w:rPr>
        <w:t xml:space="preserve"> Nomear </w:t>
      </w:r>
      <w:r>
        <w:rPr>
          <w:color w:val="FF0000"/>
          <w:sz w:val="24"/>
          <w:szCs w:val="24"/>
          <w:shd w:fill="FFFF00" w:val="clear"/>
        </w:rPr>
        <w:t>**********</w:t>
      </w:r>
      <w:r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Técnico(a) Ministerial </w:t>
      </w:r>
      <w:r>
        <w:rPr>
          <w:color w:val="FF0000"/>
          <w:sz w:val="24"/>
          <w:szCs w:val="24"/>
          <w:shd w:fill="FFFF00" w:val="clear"/>
        </w:rPr>
        <w:t>(ou servidor cedido)</w:t>
      </w:r>
      <w:r>
        <w:rPr>
          <w:sz w:val="24"/>
          <w:szCs w:val="24"/>
        </w:rPr>
        <w:t xml:space="preserve"> lotado(a) nesta Promotoria de Justiça, para secretariar os trabalhos e cumprir as diligências, os quais serão desenvolvidos nos autos, razão pela qual determino que se expeça o Termo de Compromisso para ser assinado.</w:t>
      </w:r>
    </w:p>
    <w:p>
      <w:pPr>
        <w:pStyle w:val="Normal"/>
        <w:spacing w:lineRule="auto" w:line="360" w:before="240" w:after="0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bCs/>
          <w:color w:val="00000A"/>
          <w:sz w:val="24"/>
          <w:szCs w:val="24"/>
        </w:rPr>
        <w:t>Art. 3º.</w:t>
      </w:r>
      <w:r>
        <w:rPr>
          <w:rFonts w:cs="Arial"/>
          <w:b w:val="false"/>
          <w:bCs w:val="false"/>
          <w:color w:val="00000A"/>
          <w:sz w:val="24"/>
          <w:szCs w:val="24"/>
        </w:rPr>
        <w:t xml:space="preserve"> Determinar, expedição de Ofício à </w:t>
      </w:r>
      <w:r>
        <w:rPr>
          <w:rFonts w:cs="Arial"/>
          <w:b/>
          <w:bCs/>
          <w:color w:val="00000A"/>
          <w:sz w:val="24"/>
          <w:szCs w:val="24"/>
        </w:rPr>
        <w:t>Secretaria Municipal de Educação (SME)</w:t>
      </w:r>
      <w:r>
        <w:rPr>
          <w:rFonts w:cs="Arial"/>
          <w:b w:val="false"/>
          <w:bCs w:val="false"/>
          <w:color w:val="00000A"/>
          <w:sz w:val="24"/>
          <w:szCs w:val="24"/>
        </w:rPr>
        <w:t xml:space="preserve"> para que, </w:t>
      </w:r>
      <w:r>
        <w:rPr>
          <w:rFonts w:cs="Arial"/>
          <w:b w:val="false"/>
          <w:bCs w:val="false"/>
          <w:color w:val="00000A"/>
          <w:sz w:val="24"/>
          <w:szCs w:val="24"/>
          <w:shd w:fill="FFFF00" w:val="clear"/>
        </w:rPr>
        <w:t>no prazo de ** dias</w:t>
      </w:r>
      <w:r>
        <w:rPr>
          <w:rFonts w:cs="Arial"/>
          <w:b w:val="false"/>
          <w:bCs w:val="false"/>
          <w:color w:val="00000A"/>
          <w:sz w:val="24"/>
          <w:szCs w:val="24"/>
        </w:rPr>
        <w:t xml:space="preserve">, </w:t>
      </w:r>
      <w:r>
        <w:rPr>
          <w:rFonts w:cs="Arial"/>
          <w:b w:val="false"/>
          <w:bCs w:val="false"/>
          <w:color w:val="00000A"/>
          <w:sz w:val="24"/>
          <w:szCs w:val="24"/>
          <w:shd w:fill="auto" w:val="clear"/>
        </w:rPr>
        <w:t>encaminhe as seguintes informações e, ou respectivos documentos</w:t>
      </w:r>
      <w:r>
        <w:rPr>
          <w:rFonts w:cs="Arial"/>
          <w:b w:val="false"/>
          <w:bCs w:val="false"/>
          <w:color w:val="00000A"/>
          <w:sz w:val="24"/>
          <w:szCs w:val="24"/>
        </w:rPr>
        <w:t>:</w:t>
      </w:r>
    </w:p>
    <w:p>
      <w:pPr>
        <w:pStyle w:val="ListParagraph"/>
        <w:widowControl w:val="false"/>
        <w:tabs>
          <w:tab w:val="clear" w:pos="708"/>
          <w:tab w:val="left" w:pos="350" w:leader="none"/>
        </w:tabs>
        <w:suppressAutoHyphens w:val="false"/>
        <w:bidi w:val="0"/>
        <w:spacing w:lineRule="auto" w:line="360" w:before="0" w:after="0"/>
        <w:ind w:firstLine="1134" w:left="0" w:right="170"/>
        <w:jc w:val="both"/>
        <w:textAlignment w:val="auto"/>
        <w:rPr>
          <w:highlight w:val="none"/>
          <w:shd w:fill="BBE33D" w:val="clear"/>
        </w:rPr>
      </w:pPr>
      <w:r>
        <w:rPr>
          <w:b/>
          <w:bCs/>
          <w:sz w:val="24"/>
          <w:szCs w:val="24"/>
          <w:shd w:fill="auto" w:val="clear"/>
        </w:rPr>
        <w:t>A)</w:t>
      </w:r>
      <w:r>
        <w:rPr>
          <w:sz w:val="24"/>
          <w:szCs w:val="24"/>
          <w:shd w:fill="auto" w:val="clear"/>
        </w:rPr>
        <w:t xml:space="preserve"> Ações desenvolvidas e programadas no âmbito do Compromisso Nacional Criança Alfabetizada (Lei nº 15.247/2025), com detalhamento das metas locais, atividades pedagógicas, cronograma de execução;</w:t>
      </w:r>
      <w:r>
        <w:rPr>
          <w:sz w:val="24"/>
          <w:szCs w:val="24"/>
          <w:shd w:fill="BBE33D" w:val="clear"/>
        </w:rPr>
        <w:t xml:space="preserve">                                                                                                                           </w:t>
      </w:r>
    </w:p>
    <w:p>
      <w:pPr>
        <w:pStyle w:val="ListParagraph"/>
        <w:widowControl w:val="false"/>
        <w:tabs>
          <w:tab w:val="clear" w:pos="708"/>
          <w:tab w:val="left" w:pos="350" w:leader="none"/>
        </w:tabs>
        <w:suppressAutoHyphens w:val="false"/>
        <w:bidi w:val="0"/>
        <w:spacing w:lineRule="auto" w:line="360" w:before="0" w:after="0"/>
        <w:ind w:firstLine="1134" w:left="0" w:right="170"/>
        <w:jc w:val="both"/>
        <w:textAlignment w:val="auto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>B)</w:t>
      </w:r>
      <w:r>
        <w:rPr>
          <w:sz w:val="24"/>
          <w:szCs w:val="24"/>
          <w:shd w:fill="auto" w:val="clear"/>
        </w:rPr>
        <w:t xml:space="preserve"> </w:t>
      </w:r>
      <w:r>
        <w:rPr>
          <w:strike w:val="false"/>
          <w:dstrike w:val="false"/>
          <w:sz w:val="24"/>
          <w:szCs w:val="24"/>
          <w:shd w:fill="auto" w:val="clear"/>
        </w:rPr>
        <w:t xml:space="preserve">Estratégias acerca das ações de formação continuada destinada aos professores alfabetizadores e equipe pedagógica; </w:t>
      </w:r>
    </w:p>
    <w:p>
      <w:pPr>
        <w:pStyle w:val="ListParagraph"/>
        <w:widowControl w:val="false"/>
        <w:tabs>
          <w:tab w:val="clear" w:pos="708"/>
          <w:tab w:val="left" w:pos="350" w:leader="none"/>
        </w:tabs>
        <w:suppressAutoHyphens w:val="false"/>
        <w:bidi w:val="0"/>
        <w:spacing w:lineRule="auto" w:line="360" w:before="0" w:after="0"/>
        <w:ind w:firstLine="1134" w:left="0" w:right="170"/>
        <w:jc w:val="both"/>
        <w:textAlignment w:val="auto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>C)</w:t>
      </w:r>
      <w:r>
        <w:rPr>
          <w:sz w:val="24"/>
          <w:szCs w:val="24"/>
          <w:shd w:fill="auto" w:val="clear"/>
        </w:rPr>
        <w:t xml:space="preserve"> Existência e uso de instrumentos de avaliação diagnóstica no ciclo de alfabetização, com indicação do aproveitamento pedagógico dos resultados;</w:t>
      </w:r>
    </w:p>
    <w:p>
      <w:pPr>
        <w:pStyle w:val="ListParagraph"/>
        <w:widowControl w:val="false"/>
        <w:tabs>
          <w:tab w:val="clear" w:pos="708"/>
          <w:tab w:val="left" w:pos="350" w:leader="none"/>
        </w:tabs>
        <w:suppressAutoHyphens w:val="false"/>
        <w:bidi w:val="0"/>
        <w:spacing w:lineRule="auto" w:line="360" w:before="0" w:after="0"/>
        <w:ind w:firstLine="1134" w:left="0" w:right="170"/>
        <w:jc w:val="both"/>
        <w:textAlignment w:val="auto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 xml:space="preserve">D) </w:t>
      </w:r>
      <w:r>
        <w:rPr>
          <w:b w:val="false"/>
          <w:bCs w:val="false"/>
          <w:sz w:val="24"/>
          <w:szCs w:val="24"/>
          <w:shd w:fill="auto" w:val="clear"/>
        </w:rPr>
        <w:t xml:space="preserve">Há na rede pública municipal de ensino alunos do ensino fundamental anos iniciais que são público-alvo da educação inclusiva? Em caso positivo, especificar o quantitativo por escola e por tipo de deficiência. </w:t>
      </w:r>
    </w:p>
    <w:p>
      <w:pPr>
        <w:pStyle w:val="ListParagraph"/>
        <w:widowControl w:val="false"/>
        <w:tabs>
          <w:tab w:val="clear" w:pos="708"/>
          <w:tab w:val="left" w:pos="350" w:leader="none"/>
        </w:tabs>
        <w:suppressAutoHyphens w:val="false"/>
        <w:bidi w:val="0"/>
        <w:spacing w:lineRule="auto" w:line="360" w:before="0" w:after="0"/>
        <w:ind w:firstLine="1134" w:left="0" w:right="170"/>
        <w:jc w:val="both"/>
        <w:textAlignment w:val="auto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>E)</w:t>
      </w:r>
      <w:r>
        <w:rPr>
          <w:b w:val="false"/>
          <w:bCs w:val="false"/>
          <w:sz w:val="24"/>
          <w:szCs w:val="24"/>
          <w:shd w:fill="auto" w:val="clear"/>
        </w:rPr>
        <w:t xml:space="preserve"> Em caso de resposta positiva do item anterior, detalhar as estratégias adotadas para alfabetização de estudantes que demandam suportes específicos, </w:t>
      </w:r>
      <w:r>
        <w:rPr>
          <w:b w:val="false"/>
          <w:bCs w:val="false"/>
          <w:strike w:val="false"/>
          <w:dstrike w:val="false"/>
          <w:sz w:val="24"/>
          <w:szCs w:val="24"/>
          <w:shd w:fill="auto" w:val="clear"/>
        </w:rPr>
        <w:t xml:space="preserve">tais como, </w:t>
      </w:r>
      <w:r>
        <w:rPr>
          <w:b w:val="false"/>
          <w:bCs w:val="false"/>
          <w:strike w:val="false"/>
          <w:dstrike w:val="false"/>
          <w:sz w:val="24"/>
          <w:szCs w:val="24"/>
          <w:shd w:fill="auto" w:val="clear"/>
        </w:rPr>
        <w:t>dentre outras,</w:t>
      </w:r>
      <w:r>
        <w:rPr>
          <w:b w:val="false"/>
          <w:bCs w:val="false"/>
          <w:strike w:val="false"/>
          <w:dstrike w:val="false"/>
          <w:sz w:val="24"/>
          <w:szCs w:val="24"/>
          <w:shd w:fill="auto" w:val="clear"/>
        </w:rPr>
        <w:t xml:space="preserve"> alunos cegos (alfabetização em braile), com visão subnormal (necessitam de materiais pedagógicos ampliados) e surdos (alfabetização em libras).</w:t>
      </w:r>
    </w:p>
    <w:p>
      <w:pPr>
        <w:pStyle w:val="ListParagraph"/>
        <w:widowControl w:val="false"/>
        <w:tabs>
          <w:tab w:val="clear" w:pos="708"/>
          <w:tab w:val="left" w:pos="350" w:leader="none"/>
        </w:tabs>
        <w:suppressAutoHyphens w:val="false"/>
        <w:bidi w:val="0"/>
        <w:spacing w:lineRule="auto" w:line="360" w:before="0" w:after="0"/>
        <w:ind w:firstLine="1134" w:left="0" w:right="170"/>
        <w:jc w:val="both"/>
        <w:textAlignment w:val="auto"/>
        <w:rPr>
          <w:b w:val="false"/>
          <w:bCs w:val="false"/>
          <w:strike/>
          <w:sz w:val="24"/>
          <w:szCs w:val="24"/>
          <w:highlight w:val="none"/>
          <w:shd w:fill="auto" w:val="clear"/>
        </w:rPr>
      </w:pPr>
      <w:r>
        <w:rPr>
          <w:b w:val="false"/>
          <w:bCs w:val="false"/>
          <w:strike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708"/>
          <w:tab w:val="left" w:pos="350" w:leader="none"/>
        </w:tabs>
        <w:suppressAutoHyphens w:val="false"/>
        <w:bidi w:val="0"/>
        <w:spacing w:lineRule="auto" w:line="360" w:before="0" w:after="0"/>
        <w:ind w:firstLine="1134" w:left="0" w:right="170"/>
        <w:jc w:val="both"/>
        <w:textAlignment w:val="auto"/>
        <w:rPr>
          <w:sz w:val="24"/>
          <w:szCs w:val="24"/>
          <w:highlight w:val="none"/>
          <w:shd w:fill="auto" w:val="clear"/>
        </w:rPr>
      </w:pPr>
      <w:r>
        <w:rPr>
          <w:b w:val="false"/>
          <w:bCs w:val="false"/>
          <w:sz w:val="24"/>
          <w:szCs w:val="24"/>
          <w:shd w:fill="auto" w:val="clear"/>
        </w:rPr>
        <w:t xml:space="preserve">       </w:t>
      </w:r>
      <w:r>
        <w:rPr>
          <w:sz w:val="24"/>
          <w:szCs w:val="24"/>
          <w:shd w:fill="auto" w:val="clear"/>
        </w:rPr>
        <w:t xml:space="preserve">                                                                       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uppressAutoHyphens w:val="false"/>
        <w:spacing w:lineRule="auto" w:line="360" w:before="60" w:after="60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  <w:lang w:bidi="ar-SA"/>
        </w:rPr>
        <w:t>Registre-se. Publique-se. Cumpra-se</w:t>
      </w:r>
      <w:r>
        <w:rPr>
          <w:rFonts w:eastAsia="Times New Roman" w:cs="Times New Roman"/>
          <w:color w:val="000000"/>
          <w:sz w:val="24"/>
          <w:szCs w:val="24"/>
          <w:lang w:bidi="ar-SA"/>
        </w:rPr>
        <w:t>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uppressAutoHyphens w:val="false"/>
        <w:spacing w:lineRule="auto" w:line="360" w:before="60" w:after="60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bidi="ar-SA"/>
        </w:rPr>
        <w:t xml:space="preserve">Expedientes necessários.                                                            </w:t>
      </w:r>
    </w:p>
    <w:p>
      <w:pPr>
        <w:pStyle w:val="Normal"/>
        <w:tabs>
          <w:tab w:val="clear" w:pos="708"/>
          <w:tab w:val="left" w:pos="0" w:leader="none"/>
        </w:tabs>
        <w:suppressAutoHyphens w:val="false"/>
        <w:spacing w:lineRule="auto" w:line="360" w:before="60" w:after="60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western"/>
        <w:numPr>
          <w:ilvl w:val="0"/>
          <w:numId w:val="1"/>
        </w:numPr>
        <w:spacing w:lineRule="auto" w:line="360" w:before="113" w:after="113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  <w:highlight w:val="yellow"/>
        </w:rPr>
        <w:t>*Local e data.</w:t>
      </w:r>
    </w:p>
    <w:p>
      <w:pPr>
        <w:pStyle w:val="western"/>
        <w:numPr>
          <w:ilvl w:val="0"/>
          <w:numId w:val="1"/>
        </w:numPr>
        <w:spacing w:lineRule="auto" w:line="240" w:before="113" w:after="113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  <w:highlight w:val="yellow"/>
        </w:rPr>
        <w:t>***************</w:t>
      </w:r>
    </w:p>
    <w:p>
      <w:pPr>
        <w:pStyle w:val="Standard1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 MT" w:ascii="Times New Roman" w:hAnsi="Times New Roman"/>
          <w:b/>
          <w:kern w:val="0"/>
          <w:sz w:val="24"/>
          <w:szCs w:val="24"/>
          <w:lang w:val="pt-PT" w:eastAsia="en-US" w:bidi="ar-SA"/>
        </w:rPr>
        <w:t>Promotor de Justiça</w:t>
      </w:r>
    </w:p>
    <w:p>
      <w:pPr>
        <w:pStyle w:val="Normal"/>
        <w:suppressAutoHyphens w:val="false"/>
        <w:ind w:right="3452"/>
        <w:jc w:val="center"/>
        <w:textAlignment w:val="auto"/>
        <w:rPr>
          <w:rFonts w:ascii="Times New Roman" w:hAnsi="Times New Roman" w:eastAsia="Arial MT" w:cs="Arial"/>
          <w:kern w:val="0"/>
          <w:sz w:val="24"/>
          <w:szCs w:val="24"/>
          <w:lang w:val="pt-PT" w:eastAsia="en-US" w:bidi="ar-SA"/>
        </w:rPr>
      </w:pPr>
      <w:r>
        <w:rPr>
          <w:rFonts w:eastAsia="Arial MT" w:cs="Arial"/>
          <w:kern w:val="0"/>
          <w:sz w:val="24"/>
          <w:szCs w:val="24"/>
          <w:lang w:val="pt-PT" w:eastAsia="en-US" w:bidi="ar-SA"/>
        </w:rPr>
      </w:r>
    </w:p>
    <w:p>
      <w:pPr>
        <w:pStyle w:val="BodyTextIndent2"/>
        <w:spacing w:lineRule="auto" w:line="360"/>
        <w:ind w:firstLine="1418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</w:r>
    </w:p>
    <w:p>
      <w:pPr>
        <w:pStyle w:val="BodyTextIndent2"/>
        <w:spacing w:lineRule="auto" w:line="360"/>
        <w:ind w:firstLine="1418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</w:r>
    </w:p>
    <w:p>
      <w:pPr>
        <w:pStyle w:val="BodyTextIndent2"/>
        <w:spacing w:lineRule="auto" w:line="360"/>
        <w:ind w:firstLine="1418"/>
        <w:jc w:val="lef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 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701" w:right="1475" w:gutter="0" w:header="720" w:top="2138" w:footer="1489" w:bottom="154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ucida Sans Unicode">
    <w:charset w:val="00"/>
    <w:family w:val="swiss"/>
    <w:pitch w:val="variable"/>
  </w:font>
  <w:font w:name="Garamond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Unicode MS">
    <w:charset w:val="00"/>
    <w:family w:val="swiss"/>
    <w:pitch w:val="variable"/>
  </w:font>
  <w:font w:name="Calibri">
    <w:charset w:val="00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inline distT="0" distB="0" distL="0" distR="0">
          <wp:extent cx="5543550" cy="59690"/>
          <wp:effectExtent l="0" t="0" r="0" b="0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59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BodyText"/>
      <w:spacing w:before="0" w:after="0"/>
      <w:jc w:val="center"/>
      <w:rPr>
        <w:sz w:val="20"/>
        <w:szCs w:val="20"/>
      </w:rPr>
    </w:pPr>
    <w:r>
      <w:rPr>
        <w:rFonts w:eastAsia="Times New Roman" w:cs="Times New Roman"/>
        <w:b/>
        <w:bCs/>
        <w:color w:val="C9211E"/>
        <w:sz w:val="20"/>
        <w:szCs w:val="20"/>
        <w:shd w:fill="FFFF00" w:val="clear"/>
        <w:lang w:bidi="pt-BR"/>
      </w:rPr>
      <w:t xml:space="preserve">** </w:t>
    </w:r>
    <w:r>
      <w:rPr>
        <w:rFonts w:cs="Times New Roman"/>
        <w:b/>
        <w:sz w:val="20"/>
        <w:szCs w:val="20"/>
        <w:shd w:fill="FFFF00" w:val="clear"/>
      </w:rPr>
      <w:t xml:space="preserve">PROMOTORIA DE JUSTIÇA DE </w:t>
    </w:r>
    <w:r>
      <w:rPr>
        <w:rFonts w:eastAsia="Times New Roman" w:cs="Times New Roman"/>
        <w:b/>
        <w:bCs/>
        <w:color w:val="C9211E"/>
        <w:sz w:val="20"/>
        <w:szCs w:val="20"/>
        <w:shd w:fill="FFFF00" w:val="clear"/>
        <w:lang w:bidi="pt-BR"/>
      </w:rPr>
      <w:t>*************</w:t>
    </w:r>
  </w:p>
  <w:p>
    <w:pPr>
      <w:pStyle w:val="Normal"/>
      <w:jc w:val="center"/>
      <w:rPr>
        <w:sz w:val="20"/>
        <w:szCs w:val="20"/>
      </w:rPr>
    </w:pPr>
    <w:r>
      <w:rPr>
        <w:rFonts w:cs="Times New Roman"/>
        <w:sz w:val="20"/>
        <w:szCs w:val="20"/>
        <w:highlight w:val="yellow"/>
      </w:rPr>
      <w:t>ENDEREÇO - CEP: ****** – ********-CE</w:t>
    </w:r>
  </w:p>
  <w:p>
    <w:pPr>
      <w:pStyle w:val="Footer"/>
      <w:jc w:val="center"/>
      <w:rPr/>
    </w:pPr>
    <w:r>
      <w:rPr>
        <w:b/>
        <w:bCs/>
        <w:color w:val="C9211E"/>
        <w:highlight w:val="yellow"/>
        <w:shd w:fill="FFFF00" w:val="clear"/>
        <w:lang w:bidi="pt-BR"/>
      </w:rPr>
      <w:t>e-mail: ***********@mpce.mp.br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inline distT="0" distB="0" distL="0" distR="0">
          <wp:extent cx="5543550" cy="59690"/>
          <wp:effectExtent l="0" t="0" r="0" b="0"/>
          <wp:docPr id="4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59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BodyText"/>
      <w:spacing w:before="0" w:after="0"/>
      <w:jc w:val="center"/>
      <w:rPr>
        <w:sz w:val="20"/>
        <w:szCs w:val="20"/>
      </w:rPr>
    </w:pPr>
    <w:r>
      <w:rPr>
        <w:rFonts w:eastAsia="Times New Roman" w:cs="Times New Roman"/>
        <w:b/>
        <w:bCs/>
        <w:color w:val="C9211E"/>
        <w:sz w:val="20"/>
        <w:szCs w:val="20"/>
        <w:shd w:fill="FFFF00" w:val="clear"/>
        <w:lang w:bidi="pt-BR"/>
      </w:rPr>
      <w:t xml:space="preserve">** </w:t>
    </w:r>
    <w:r>
      <w:rPr>
        <w:rFonts w:cs="Times New Roman"/>
        <w:b/>
        <w:sz w:val="20"/>
        <w:szCs w:val="20"/>
        <w:shd w:fill="FFFF00" w:val="clear"/>
      </w:rPr>
      <w:t xml:space="preserve">PROMOTORIA DE JUSTIÇA DE </w:t>
    </w:r>
    <w:r>
      <w:rPr>
        <w:rFonts w:eastAsia="Times New Roman" w:cs="Times New Roman"/>
        <w:b/>
        <w:bCs/>
        <w:color w:val="C9211E"/>
        <w:sz w:val="20"/>
        <w:szCs w:val="20"/>
        <w:shd w:fill="FFFF00" w:val="clear"/>
        <w:lang w:bidi="pt-BR"/>
      </w:rPr>
      <w:t>*************</w:t>
    </w:r>
  </w:p>
  <w:p>
    <w:pPr>
      <w:pStyle w:val="Normal"/>
      <w:jc w:val="center"/>
      <w:rPr>
        <w:sz w:val="20"/>
        <w:szCs w:val="20"/>
      </w:rPr>
    </w:pPr>
    <w:r>
      <w:rPr>
        <w:rFonts w:cs="Times New Roman"/>
        <w:sz w:val="20"/>
        <w:szCs w:val="20"/>
        <w:highlight w:val="yellow"/>
      </w:rPr>
      <w:t>ENDEREÇO - CEP: ****** – ********-CE</w:t>
    </w:r>
  </w:p>
  <w:p>
    <w:pPr>
      <w:pStyle w:val="Footer"/>
      <w:jc w:val="center"/>
      <w:rPr/>
    </w:pPr>
    <w:r>
      <w:rPr>
        <w:b/>
        <w:bCs/>
        <w:color w:val="C9211E"/>
        <w:highlight w:val="yellow"/>
        <w:shd w:fill="FFFF00" w:val="clear"/>
        <w:lang w:bidi="pt-BR"/>
      </w:rPr>
      <w:t>e-mail: ***********@mpce.mp.br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widowControl/>
        <w:suppressAutoHyphens w:val="true"/>
        <w:bidi w:val="0"/>
        <w:jc w:val="both"/>
        <w:rPr/>
      </w:pPr>
      <w:r>
        <w:rPr>
          <w:rStyle w:val="Caracteresdenotaderodap"/>
        </w:rPr>
        <w:footnoteRef/>
      </w:r>
      <w:hyperlink r:id="rId1">
        <w:r>
          <w:rPr>
            <w:rStyle w:val="Hyperlink"/>
            <w:rFonts w:eastAsia="NSimSun" w:cs="Arial" w:ascii="Times New Roman" w:hAnsi="Times New Roman"/>
            <w:color w:val="800000"/>
            <w:kern w:val="2"/>
            <w:lang w:val="pt-BR" w:eastAsia="zh-CN" w:bidi="hi-IN"/>
          </w:rPr>
          <w:t>https://www.gov.br/inep/pt-br/centrais-de-conteudo/noticias/avaliacao-da-alfabetizacao/inep-lanca-publicacao-que-detalha-a-construcao-do-indicador-crianca-alfabetizada-ica-e-os-desafios-da-educacao-basica-no-pais?utm_source=chatgpt.com</w:t>
        </w:r>
      </w:hyperlink>
      <w:r>
        <w:rPr>
          <w:rStyle w:val="Hyperlink"/>
          <w:rFonts w:eastAsia="NSimSun" w:cs="Arial" w:ascii="Times New Roman" w:hAnsi="Times New Roman"/>
          <w:color w:val="800000"/>
          <w:kern w:val="2"/>
          <w:lang w:val="pt-BR" w:eastAsia="zh-CN" w:bidi="hi-IN"/>
        </w:rPr>
        <w:t xml:space="preserve">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tabs>
        <w:tab w:val="clear" w:pos="708"/>
        <w:tab w:val="left" w:pos="0" w:leader="none"/>
      </w:tabs>
      <w:spacing w:lineRule="atLeast" w:line="100"/>
      <w:jc w:val="center"/>
      <w:rPr/>
    </w:pPr>
    <w:r>
      <w:rPr/>
      <w:drawing>
        <wp:inline distT="0" distB="0" distL="0" distR="0">
          <wp:extent cx="5526405" cy="469900"/>
          <wp:effectExtent l="0" t="0" r="0" b="0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71" t="-4024" r="-371" b="-4024"/>
                  <a:stretch>
                    <a:fillRect/>
                  </a:stretch>
                </pic:blipFill>
                <pic:spPr bwMode="auto">
                  <a:xfrm>
                    <a:off x="0" y="0"/>
                    <a:ext cx="552640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t xml:space="preserve">   </w:t>
    </w:r>
  </w:p>
  <w:p>
    <w:pPr>
      <w:pStyle w:val="Standard"/>
      <w:tabs>
        <w:tab w:val="clear" w:pos="708"/>
        <w:tab w:val="left" w:pos="0" w:leader="none"/>
      </w:tabs>
      <w:spacing w:lineRule="atLeast" w:line="100"/>
      <w:jc w:val="center"/>
      <w:rPr/>
    </w:pPr>
    <w:r>
      <w:rPr/>
      <w:t xml:space="preserve">                                                                                                                </w:t>
    </w:r>
  </w:p>
  <w:p>
    <w:pPr>
      <w:pStyle w:val="BodyText"/>
      <w:spacing w:before="0" w:after="57"/>
      <w:jc w:val="center"/>
      <w:rPr/>
    </w:pPr>
    <w:r>
      <w:rPr>
        <w:rFonts w:cs="Times New Roman"/>
        <w:b/>
        <w:szCs w:val="24"/>
        <w:highlight w:val="yellow"/>
      </w:rPr>
      <w:t>**</w:t>
    </w:r>
    <w:r>
      <w:rPr>
        <w:rFonts w:cs="Times New Roman"/>
        <w:b/>
        <w:szCs w:val="24"/>
      </w:rPr>
      <w:t xml:space="preserve">ª PROMOTORIA DE JUSTIÇA DA COMARCA DE </w:t>
    </w:r>
    <w:r>
      <w:rPr>
        <w:rFonts w:cs="Times New Roman"/>
        <w:b/>
        <w:szCs w:val="24"/>
        <w:highlight w:val="yellow"/>
      </w:rPr>
      <w:t>**********</w:t>
    </w:r>
    <w:r>
      <w:rPr>
        <w:rFonts w:cs="Times New Roman"/>
        <w:b/>
        <w:szCs w:val="24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tabs>
        <w:tab w:val="clear" w:pos="708"/>
        <w:tab w:val="left" w:pos="0" w:leader="none"/>
      </w:tabs>
      <w:spacing w:lineRule="atLeast" w:line="100"/>
      <w:jc w:val="center"/>
      <w:rPr/>
    </w:pPr>
    <w:r>
      <w:rPr/>
      <w:drawing>
        <wp:inline distT="0" distB="0" distL="0" distR="0">
          <wp:extent cx="5526405" cy="469900"/>
          <wp:effectExtent l="0" t="0" r="0" b="0"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71" t="-4024" r="-371" b="-4024"/>
                  <a:stretch>
                    <a:fillRect/>
                  </a:stretch>
                </pic:blipFill>
                <pic:spPr bwMode="auto">
                  <a:xfrm>
                    <a:off x="0" y="0"/>
                    <a:ext cx="552640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t xml:space="preserve">   </w:t>
    </w:r>
  </w:p>
  <w:p>
    <w:pPr>
      <w:pStyle w:val="Standard"/>
      <w:tabs>
        <w:tab w:val="clear" w:pos="708"/>
        <w:tab w:val="left" w:pos="0" w:leader="none"/>
      </w:tabs>
      <w:spacing w:lineRule="atLeast" w:line="100"/>
      <w:jc w:val="center"/>
      <w:rPr/>
    </w:pPr>
    <w:r>
      <w:rPr/>
      <w:t xml:space="preserve">                                                                                                                </w:t>
    </w:r>
  </w:p>
  <w:p>
    <w:pPr>
      <w:pStyle w:val="BodyText"/>
      <w:spacing w:before="0" w:after="57"/>
      <w:jc w:val="center"/>
      <w:rPr/>
    </w:pPr>
    <w:r>
      <w:rPr>
        <w:rFonts w:cs="Times New Roman"/>
        <w:b/>
        <w:szCs w:val="24"/>
        <w:highlight w:val="yellow"/>
      </w:rPr>
      <w:t>**</w:t>
    </w:r>
    <w:r>
      <w:rPr>
        <w:rFonts w:cs="Times New Roman"/>
        <w:b/>
        <w:szCs w:val="24"/>
      </w:rPr>
      <w:t xml:space="preserve">ª PROMOTORIA DE JUSTIÇA DA COMARCA DE </w:t>
    </w:r>
    <w:r>
      <w:rPr>
        <w:rFonts w:cs="Times New Roman"/>
        <w:b/>
        <w:szCs w:val="24"/>
        <w:highlight w:val="yellow"/>
      </w:rPr>
      <w:t>**********</w:t>
    </w:r>
    <w:r>
      <w:rPr>
        <w:rFonts w:cs="Times New Roman"/>
        <w:b/>
        <w:szCs w:val="24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Standard"/>
    <w:next w:val="Standard"/>
    <w:qFormat/>
    <w:pPr>
      <w:keepNext w:val="true"/>
      <w:jc w:val="both"/>
      <w:outlineLvl w:val="0"/>
    </w:pPr>
    <w:rPr>
      <w:rFonts w:ascii="Arial" w:hAnsi="Arial"/>
      <w:sz w:val="28"/>
    </w:rPr>
  </w:style>
  <w:style w:type="paragraph" w:styleId="Heading2">
    <w:name w:val="heading 2"/>
    <w:basedOn w:val="Standard"/>
    <w:next w:val="Standard"/>
    <w:qFormat/>
    <w:pPr>
      <w:keepNext w:val="true"/>
      <w:tabs>
        <w:tab w:val="clear" w:pos="708"/>
        <w:tab w:val="left" w:pos="3402" w:leader="none"/>
      </w:tabs>
      <w:jc w:val="center"/>
      <w:outlineLvl w:val="1"/>
    </w:pPr>
    <w:rPr>
      <w:rFonts w:ascii="Arial" w:hAnsi="Arial"/>
      <w:sz w:val="28"/>
    </w:rPr>
  </w:style>
  <w:style w:type="paragraph" w:styleId="Heading3">
    <w:name w:val="heading 3"/>
    <w:basedOn w:val="Standard"/>
    <w:next w:val="Standard"/>
    <w:qFormat/>
    <w:pPr>
      <w:keepNext w:val="true"/>
      <w:tabs>
        <w:tab w:val="clear" w:pos="708"/>
        <w:tab w:val="left" w:pos="3402" w:leader="none"/>
      </w:tabs>
      <w:outlineLvl w:val="2"/>
    </w:pPr>
    <w:rPr>
      <w:rFonts w:ascii="Arial" w:hAnsi="Arial"/>
      <w:sz w:val="28"/>
    </w:rPr>
  </w:style>
  <w:style w:type="paragraph" w:styleId="Heading4">
    <w:name w:val="heading 4"/>
    <w:basedOn w:val="Standard"/>
    <w:next w:val="Standard"/>
    <w:qFormat/>
    <w:pPr>
      <w:keepNext w:val="true"/>
      <w:tabs>
        <w:tab w:val="clear" w:pos="708"/>
        <w:tab w:val="left" w:pos="3402" w:leader="none"/>
      </w:tabs>
      <w:outlineLvl w:val="3"/>
    </w:pPr>
    <w:rPr>
      <w:rFonts w:ascii="Arial" w:hAnsi="Arial"/>
      <w:b/>
      <w:sz w:val="28"/>
    </w:rPr>
  </w:style>
  <w:style w:type="paragraph" w:styleId="Heading5">
    <w:name w:val="heading 5"/>
    <w:basedOn w:val="Standard"/>
    <w:next w:val="Standard"/>
    <w:qFormat/>
    <w:pPr>
      <w:keepNext w:val="true"/>
      <w:tabs>
        <w:tab w:val="clear" w:pos="708"/>
        <w:tab w:val="left" w:pos="3402" w:leader="none"/>
      </w:tabs>
      <w:outlineLvl w:val="4"/>
    </w:pPr>
    <w:rPr>
      <w:rFonts w:ascii="Lucida Sans Unicode" w:hAnsi="Lucida Sans Unicode"/>
      <w:b/>
      <w:sz w:val="24"/>
    </w:rPr>
  </w:style>
  <w:style w:type="paragraph" w:styleId="Heading6">
    <w:name w:val="heading 6"/>
    <w:basedOn w:val="Standard"/>
    <w:next w:val="Standard"/>
    <w:qFormat/>
    <w:pPr>
      <w:keepNext w:val="true"/>
      <w:outlineLvl w:val="5"/>
    </w:pPr>
    <w:rPr>
      <w:rFonts w:ascii="Garamond" w:hAnsi="Garamond"/>
      <w:b/>
      <w:sz w:val="32"/>
    </w:rPr>
  </w:style>
  <w:style w:type="paragraph" w:styleId="Heading7">
    <w:name w:val="heading 7"/>
    <w:basedOn w:val="Standard"/>
    <w:next w:val="Standard"/>
    <w:qFormat/>
    <w:pPr>
      <w:keepNext w:val="true"/>
      <w:jc w:val="center"/>
      <w:outlineLvl w:val="6"/>
    </w:pPr>
    <w:rPr>
      <w:rFonts w:ascii="Garamond" w:hAnsi="Garamond"/>
      <w:sz w:val="32"/>
    </w:rPr>
  </w:style>
  <w:style w:type="paragraph" w:styleId="Heading8">
    <w:name w:val="heading 8"/>
    <w:basedOn w:val="Standard"/>
    <w:next w:val="Standard"/>
    <w:qFormat/>
    <w:pPr>
      <w:keepNext w:val="true"/>
      <w:spacing w:lineRule="auto" w:line="360"/>
      <w:jc w:val="center"/>
      <w:outlineLvl w:val="7"/>
    </w:pPr>
    <w:rPr>
      <w:rFonts w:ascii="Garamond" w:hAnsi="Garamond"/>
      <w:b/>
      <w:bCs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>
      <w:rFonts w:ascii="Symbol" w:hAnsi="Symbol" w:cs="OpenSymbol, 'Arial Unicode MS'"/>
    </w:rPr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Fontepargpadro" w:customStyle="1">
    <w:name w:val="WW-Fonte parág. padrão"/>
    <w:qFormat/>
    <w:rPr/>
  </w:style>
  <w:style w:type="character" w:styleId="Marcadoresuser" w:customStyle="1">
    <w:name w:val="Marcadores (user)"/>
    <w:qFormat/>
    <w:rPr>
      <w:rFonts w:ascii="OpenSymbol, 'Arial Unicode MS'" w:hAnsi="OpenSymbol, 'Arial Unicode MS'" w:eastAsia="OpenSymbol, 'Arial Unicode MS'" w:cs="OpenSymbol, 'Arial Unicode MS'"/>
    </w:rPr>
  </w:style>
  <w:style w:type="character" w:styleId="WW-Smbolodenotaderodap11" w:customStyle="1">
    <w:name w:val="WW-Símbolo de nota de rodapé11"/>
    <w:basedOn w:val="DefaultParagraphFont"/>
    <w:qFormat/>
    <w:rPr>
      <w:vertAlign w:val="superscript"/>
    </w:rPr>
  </w:style>
  <w:style w:type="character" w:styleId="Smbolodenotaderodap" w:customStyle="1">
    <w:name w:val="Símbolo de nota de rodapé"/>
    <w:qFormat/>
    <w:rPr>
      <w:vertAlign w:val="superscript"/>
    </w:rPr>
  </w:style>
  <w:style w:type="character" w:styleId="FootnoteSymbol" w:customStyle="1">
    <w:name w:val="Footnote Symbol"/>
    <w:qFormat/>
    <w:rPr/>
  </w:style>
  <w:style w:type="character" w:styleId="Caracteresdenotaderodapuser" w:customStyle="1">
    <w:name w:val="Caracteres de nota de rodapé (user)"/>
    <w:qFormat/>
    <w:rPr>
      <w:vertAlign w:val="superscript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Symbol" w:customStyle="1">
    <w:name w:val="Endnote Symbol"/>
    <w:qFormat/>
    <w:rPr>
      <w:vertAlign w:val="superscript"/>
    </w:rPr>
  </w:style>
  <w:style w:type="character" w:styleId="WW-Caracteresdenotadefim" w:customStyle="1">
    <w:name w:val="WW-Caracteres de nota de fim"/>
    <w:qFormat/>
    <w:rPr/>
  </w:style>
  <w:style w:type="character" w:styleId="Caracteresdenotadefimuser" w:customStyle="1">
    <w:name w:val="Caracteres de nota de fim (user)"/>
    <w:qFormat/>
    <w:rPr>
      <w:vertAlign w:val="superscript"/>
    </w:rPr>
  </w:style>
  <w:style w:type="character" w:styleId="Caracteresdenotadefim">
    <w:name w:val="Caracteres de nota de fim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mbolosdenumeraouser" w:customStyle="1">
    <w:name w:val="Símbolos de numeração (user)"/>
    <w:qFormat/>
    <w:rPr/>
  </w:style>
  <w:style w:type="character" w:styleId="CorpodetextoChar" w:customStyle="1">
    <w:name w:val="Corpo de texto Char"/>
    <w:basedOn w:val="DefaultParagraphFont"/>
    <w:qFormat/>
    <w:rPr>
      <w:rFonts w:cs="Mangal"/>
      <w:szCs w:val="21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c4596c"/>
    <w:rPr>
      <w:rFonts w:cs="Mangal"/>
      <w:sz w:val="20"/>
      <w:szCs w:val="18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c4596c"/>
    <w:rPr>
      <w:rFonts w:ascii="Arial MT" w:hAnsi="Arial MT" w:eastAsia="Arial MT" w:cs="Arial MT"/>
      <w:b/>
      <w:bCs/>
      <w:kern w:val="0"/>
      <w:sz w:val="20"/>
      <w:szCs w:val="20"/>
      <w:lang w:val="pt-PT" w:eastAsia="en-US" w:bidi="ar-SA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rFonts w:cs="Mangal"/>
      <w:szCs w:val="21"/>
    </w:rPr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Standard"/>
    <w:qFormat/>
    <w:pPr>
      <w:suppressLineNumbers/>
    </w:pPr>
    <w:rPr>
      <w:rFonts w:cs="Tahoma"/>
    </w:rPr>
  </w:style>
  <w:style w:type="paragraph" w:styleId="Title">
    <w:name w:val="Title"/>
    <w:basedOn w:val="Standard"/>
    <w:next w:val="Textbody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ar-SA"/>
    </w:rPr>
  </w:style>
  <w:style w:type="paragraph" w:styleId="Textbody" w:customStyle="1">
    <w:name w:val="Text body"/>
    <w:basedOn w:val="Standard"/>
    <w:qFormat/>
    <w:pPr>
      <w:tabs>
        <w:tab w:val="clear" w:pos="708"/>
        <w:tab w:val="left" w:pos="3402" w:leader="none"/>
      </w:tabs>
    </w:pPr>
    <w:rPr>
      <w:rFonts w:ascii="Lucida Sans Unicode" w:hAnsi="Lucida Sans Unicode"/>
      <w:sz w:val="24"/>
    </w:rPr>
  </w:style>
  <w:style w:type="paragraph" w:styleId="caption1" w:customStyle="1">
    <w:name w:val="caption1"/>
    <w:basedOn w:val="Standard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ptulo" w:customStyle="1">
    <w:name w:val="Capítulo"/>
    <w:basedOn w:val="Standard"/>
    <w:next w:val="Textbody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Cabealhoerodap9">
    <w:name w:val="Cabeçalho e rodapé9"/>
    <w:basedOn w:val="Normal"/>
    <w:qFormat/>
    <w:pPr/>
    <w:rPr/>
  </w:style>
  <w:style w:type="paragraph" w:styleId="Cabealhoerodap10">
    <w:name w:val="Cabeçalho e rodapé10"/>
    <w:basedOn w:val="Normal"/>
    <w:qFormat/>
    <w:pPr/>
    <w:rPr/>
  </w:style>
  <w:style w:type="paragraph" w:styleId="Cabealhoerodap11">
    <w:name w:val="Cabeçalho e rodapé11"/>
    <w:basedOn w:val="Normal"/>
    <w:qFormat/>
    <w:pPr/>
    <w:rPr/>
  </w:style>
  <w:style w:type="paragraph" w:styleId="Cabealhoerodap12">
    <w:name w:val="Cabeçalho e rodapé12"/>
    <w:basedOn w:val="Normal"/>
    <w:qFormat/>
    <w:pPr/>
    <w:rPr/>
  </w:style>
  <w:style w:type="paragraph" w:styleId="Cabealhoerodap13">
    <w:name w:val="Cabeçalho e rodapé13"/>
    <w:basedOn w:val="Normal"/>
    <w:qFormat/>
    <w:pPr/>
    <w:rPr/>
  </w:style>
  <w:style w:type="paragraph" w:styleId="Cabealhoerodap14">
    <w:name w:val="Cabeçalho e rodapé14"/>
    <w:basedOn w:val="Normal"/>
    <w:qFormat/>
    <w:pPr/>
    <w:rPr/>
  </w:style>
  <w:style w:type="paragraph" w:styleId="Cabealhoerodap15">
    <w:name w:val="Cabeçalho e rodapé15"/>
    <w:basedOn w:val="Normal"/>
    <w:qFormat/>
    <w:pPr/>
    <w:rPr/>
  </w:style>
  <w:style w:type="paragraph" w:styleId="Cabealhoerodap16">
    <w:name w:val="Cabeçalho e rodapé16"/>
    <w:basedOn w:val="Normal"/>
    <w:qFormat/>
    <w:pPr/>
    <w:rPr/>
  </w:style>
  <w:style w:type="paragraph" w:styleId="Cabealhoerodap17">
    <w:name w:val="Cabeçalho e rodapé17"/>
    <w:basedOn w:val="Normal"/>
    <w:qFormat/>
    <w:pPr/>
    <w:rPr/>
  </w:style>
  <w:style w:type="paragraph" w:styleId="Cabealhoerodap18">
    <w:name w:val="Cabeçalho e rodapé18"/>
    <w:basedOn w:val="Normal"/>
    <w:qFormat/>
    <w:pPr/>
    <w:rPr/>
  </w:style>
  <w:style w:type="paragraph" w:styleId="Cabealhoerodap19">
    <w:name w:val="Cabeçalho e rodapé19"/>
    <w:basedOn w:val="Normal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Standard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Subtitle">
    <w:name w:val="Subtitle"/>
    <w:basedOn w:val="Captulo"/>
    <w:next w:val="Textbody"/>
    <w:qFormat/>
    <w:pPr>
      <w:jc w:val="center"/>
    </w:pPr>
    <w:rPr>
      <w:i/>
      <w:iCs/>
    </w:rPr>
  </w:style>
  <w:style w:type="paragraph" w:styleId="Textbodyindent" w:customStyle="1">
    <w:name w:val="Text body indent"/>
    <w:basedOn w:val="Standard"/>
    <w:qFormat/>
    <w:pPr>
      <w:ind w:firstLine="2835"/>
      <w:jc w:val="both"/>
    </w:pPr>
    <w:rPr>
      <w:rFonts w:ascii="Garamond" w:hAnsi="Garamond"/>
      <w:sz w:val="28"/>
    </w:rPr>
  </w:style>
  <w:style w:type="paragraph" w:styleId="BodyText2">
    <w:name w:val="Body Text 2"/>
    <w:basedOn w:val="Standard"/>
    <w:qFormat/>
    <w:pPr>
      <w:jc w:val="both"/>
    </w:pPr>
    <w:rPr>
      <w:rFonts w:ascii="Garamond" w:hAnsi="Garamond"/>
      <w:sz w:val="28"/>
    </w:rPr>
  </w:style>
  <w:style w:type="paragraph" w:styleId="BodyTextIndent2">
    <w:name w:val="Body Text Indent 2"/>
    <w:basedOn w:val="Standard"/>
    <w:qFormat/>
    <w:pPr>
      <w:ind w:firstLine="2835"/>
      <w:jc w:val="both"/>
    </w:pPr>
    <w:rPr>
      <w:rFonts w:ascii="Garamond" w:hAnsi="Garamond"/>
      <w:sz w:val="32"/>
    </w:rPr>
  </w:style>
  <w:style w:type="paragraph" w:styleId="BodyText3">
    <w:name w:val="Body Text 3"/>
    <w:basedOn w:val="Standard"/>
    <w:qFormat/>
    <w:pPr>
      <w:spacing w:lineRule="auto" w:line="360"/>
      <w:jc w:val="both"/>
    </w:pPr>
    <w:rPr>
      <w:rFonts w:ascii="Garamond" w:hAnsi="Garamond"/>
      <w:sz w:val="32"/>
    </w:rPr>
  </w:style>
  <w:style w:type="paragraph" w:styleId="BodyTextIndent3">
    <w:name w:val="Body Text Indent 3"/>
    <w:basedOn w:val="Standard"/>
    <w:qFormat/>
    <w:pPr>
      <w:spacing w:lineRule="auto" w:line="360"/>
      <w:ind w:hanging="426" w:left="426"/>
      <w:jc w:val="both"/>
    </w:pPr>
    <w:rPr>
      <w:rFonts w:ascii="Garamond" w:hAnsi="Garamond"/>
      <w:sz w:val="32"/>
    </w:rPr>
  </w:style>
  <w:style w:type="paragraph" w:styleId="HTMLPreformatted">
    <w:name w:val="HTML Preformatted"/>
    <w:basedOn w:val="Standard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Arial Unicode MS" w:hAnsi="Arial Unicode MS" w:eastAsia="Arial Unicode MS" w:cs="Arial Unicode MS"/>
    </w:rPr>
  </w:style>
  <w:style w:type="paragraph" w:styleId="NormalWeb">
    <w:name w:val="Normal (Web)"/>
    <w:basedOn w:val="Standard"/>
    <w:qFormat/>
    <w:pPr>
      <w:spacing w:before="100" w:after="100"/>
    </w:pPr>
    <w:rPr>
      <w:sz w:val="24"/>
      <w:szCs w:val="24"/>
    </w:rPr>
  </w:style>
  <w:style w:type="paragraph" w:styleId="Footnote" w:customStyle="1">
    <w:name w:val="Footnote"/>
    <w:basedOn w:val="Standard"/>
    <w:qFormat/>
    <w:pPr>
      <w:suppressLineNumbers/>
      <w:ind w:hanging="283" w:left="283"/>
    </w:pPr>
    <w:rPr/>
  </w:style>
  <w:style w:type="paragraph" w:styleId="ListParagraph">
    <w:name w:val="List Paragraph"/>
    <w:basedOn w:val="Normal"/>
    <w:qFormat/>
    <w:pPr>
      <w:suppressAutoHyphens w:val="false"/>
      <w:ind w:left="115" w:right="169"/>
      <w:textAlignment w:val="auto"/>
    </w:pPr>
    <w:rPr>
      <w:rFonts w:eastAsia="Times New Roman" w:cs="Times New Roman"/>
      <w:kern w:val="0"/>
      <w:sz w:val="22"/>
      <w:szCs w:val="22"/>
      <w:lang w:val="pt-PT" w:eastAsia="en-US" w:bidi="ar-SA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qFormat/>
    <w:rsid w:val="00c4596c"/>
    <w:pPr/>
    <w:rPr>
      <w:rFonts w:cs="Mangal"/>
      <w:sz w:val="20"/>
      <w:szCs w:val="18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c4596c"/>
    <w:pPr>
      <w:suppressAutoHyphens w:val="false"/>
      <w:textAlignment w:val="auto"/>
    </w:pPr>
    <w:rPr>
      <w:rFonts w:ascii="Arial MT" w:hAnsi="Arial MT" w:eastAsia="Arial MT" w:cs="Arial MT"/>
      <w:b/>
      <w:bCs/>
      <w:kern w:val="0"/>
      <w:szCs w:val="20"/>
      <w:lang w:val="pt-PT" w:eastAsia="en-US" w:bidi="ar-SA"/>
    </w:rPr>
  </w:style>
  <w:style w:type="paragraph" w:styleId="Standard1" w:customStyle="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" w:hAnsi="Liberation Serif;Times New Roma" w:eastAsia="NSimSun" w:cs="Arial"/>
      <w:color w:val="auto"/>
      <w:kern w:val="2"/>
      <w:sz w:val="24"/>
      <w:szCs w:val="24"/>
      <w:lang w:val="pt-BR" w:eastAsia="zh-CN" w:bidi="hi-IN"/>
    </w:rPr>
  </w:style>
  <w:style w:type="paragraph" w:styleId="western" w:customStyle="1">
    <w:name w:val="western"/>
    <w:basedOn w:val="Normal"/>
    <w:qFormat/>
    <w:pPr>
      <w:spacing w:lineRule="auto" w:line="276" w:before="280" w:after="119"/>
    </w:pPr>
    <w:rPr>
      <w:rFonts w:ascii="Calibri" w:hAnsi="Calibri" w:eastAsia="SimSun;宋体" w:cs="Calibri"/>
      <w:color w:val="00000A"/>
      <w:sz w:val="22"/>
      <w:szCs w:val="22"/>
      <w:lang w:bidi="ar-SA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Semlista" w:default="1">
    <w:name w:val="Sem lista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www.gov.br/inep/pt-br/centrais-de-conteudo/noticias/avaliacao-da-alfabetizacao/inep-lanca-publicacao-que-detalha-a-construcao-do-indicador-crianca-alfabetizada-ica-e-os-desafios-da-educacao-basica-no-pais?utm_source=chatgpt.com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e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emf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Application>LibreOffice/26.2.5.2$Windows_X86_64 LibreOffice_project/cd7284b4cbbfeb507e630c1aac019f4157393acb</Application>
  <AppVersion>15.0000</AppVersion>
  <Pages>4</Pages>
  <Words>931</Words>
  <Characters>5739</Characters>
  <CharactersWithSpaces>7317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2024-07-26T15:30:00Z</dcterms:created>
  <dc:creator>Procuradoria Geral de Justica</dc:creator>
  <dc:description/>
  <dc:language>pt-BR</dc:language>
  <cp:lastModifiedBy/>
  <cp:lastPrinted>2011-03-29T16:38:00Z</cp:lastPrinted>
  <dcterms:modified xsi:type="dcterms:W3CDTF">2026-09-02T10:45:58Z</dcterms:modified>
  <cp:revision>69</cp:revision>
  <dc:subject/>
  <dc:title>Ofício Circular nº 026/99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